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Overlap w:val="never"/>
        <w:tblW w:w="0" w:type="auto"/>
        <w:tblLook w:val="04A0" w:firstRow="1" w:lastRow="0" w:firstColumn="1" w:lastColumn="0" w:noHBand="0" w:noVBand="1"/>
      </w:tblPr>
      <w:tblGrid>
        <w:gridCol w:w="918"/>
        <w:gridCol w:w="6051"/>
      </w:tblGrid>
      <w:tr w:rsidR="008C2D0B" w14:paraId="30E9AD50" w14:textId="77777777" w:rsidTr="008C2D0B">
        <w:trPr>
          <w:trHeight w:val="281"/>
        </w:trPr>
        <w:tc>
          <w:tcPr>
            <w:tcW w:w="918" w:type="dxa"/>
            <w:tcBorders>
              <w:top w:val="single" w:sz="24" w:space="0" w:color="auto"/>
              <w:left w:val="single" w:sz="24" w:space="0" w:color="auto"/>
            </w:tcBorders>
            <w:vAlign w:val="center"/>
          </w:tcPr>
          <w:p w14:paraId="1E27890D" w14:textId="77777777" w:rsidR="008C2D0B" w:rsidRPr="00BC0453" w:rsidRDefault="008C2D0B" w:rsidP="008C2D0B">
            <w:pPr>
              <w:jc w:val="center"/>
              <w:rPr>
                <w:sz w:val="32"/>
              </w:rPr>
            </w:pPr>
            <w:r w:rsidRPr="00BC0453">
              <w:rPr>
                <w:sz w:val="32"/>
              </w:rPr>
              <w:t>Year</w:t>
            </w:r>
          </w:p>
        </w:tc>
        <w:tc>
          <w:tcPr>
            <w:tcW w:w="6051" w:type="dxa"/>
            <w:tcBorders>
              <w:top w:val="single" w:sz="24" w:space="0" w:color="auto"/>
              <w:right w:val="single" w:sz="24" w:space="0" w:color="auto"/>
            </w:tcBorders>
            <w:vAlign w:val="center"/>
          </w:tcPr>
          <w:p w14:paraId="6DC16FC4" w14:textId="2A79282A" w:rsidR="008C2D0B" w:rsidRPr="00BC0453" w:rsidRDefault="008B3F66" w:rsidP="00D36E0E">
            <w:pPr>
              <w:rPr>
                <w:b/>
                <w:sz w:val="32"/>
              </w:rPr>
            </w:pPr>
            <w:r>
              <w:rPr>
                <w:b/>
                <w:sz w:val="32"/>
              </w:rPr>
              <w:t>8</w:t>
            </w:r>
          </w:p>
        </w:tc>
      </w:tr>
      <w:tr w:rsidR="008C2D0B" w14:paraId="57D813BC" w14:textId="77777777" w:rsidTr="008C2D0B">
        <w:trPr>
          <w:trHeight w:val="281"/>
        </w:trPr>
        <w:tc>
          <w:tcPr>
            <w:tcW w:w="918" w:type="dxa"/>
            <w:tcBorders>
              <w:left w:val="single" w:sz="24" w:space="0" w:color="auto"/>
              <w:bottom w:val="single" w:sz="24" w:space="0" w:color="auto"/>
            </w:tcBorders>
            <w:vAlign w:val="center"/>
          </w:tcPr>
          <w:p w14:paraId="0FAA9A53" w14:textId="77777777" w:rsidR="008C2D0B" w:rsidRPr="00BC0453" w:rsidRDefault="008C2D0B" w:rsidP="008C2D0B">
            <w:pPr>
              <w:jc w:val="center"/>
              <w:rPr>
                <w:sz w:val="32"/>
              </w:rPr>
            </w:pPr>
            <w:r w:rsidRPr="00BC0453">
              <w:rPr>
                <w:sz w:val="32"/>
              </w:rPr>
              <w:t>Topic</w:t>
            </w:r>
          </w:p>
        </w:tc>
        <w:tc>
          <w:tcPr>
            <w:tcW w:w="6051" w:type="dxa"/>
            <w:tcBorders>
              <w:bottom w:val="single" w:sz="24" w:space="0" w:color="auto"/>
              <w:right w:val="single" w:sz="24" w:space="0" w:color="auto"/>
            </w:tcBorders>
            <w:vAlign w:val="center"/>
          </w:tcPr>
          <w:p w14:paraId="1EEF27D7" w14:textId="3C257E6C" w:rsidR="008C2D0B" w:rsidRPr="00BC0453" w:rsidRDefault="008B3F66" w:rsidP="009B57A5">
            <w:pPr>
              <w:rPr>
                <w:b/>
                <w:sz w:val="32"/>
              </w:rPr>
            </w:pPr>
            <w:r>
              <w:rPr>
                <w:b/>
                <w:sz w:val="32"/>
              </w:rPr>
              <w:t xml:space="preserve">Module </w:t>
            </w:r>
            <w:r w:rsidR="00AE2C15">
              <w:rPr>
                <w:b/>
                <w:sz w:val="32"/>
              </w:rPr>
              <w:t xml:space="preserve">3 Paris </w:t>
            </w:r>
            <w:proofErr w:type="spellStart"/>
            <w:r w:rsidR="00AE2C15">
              <w:rPr>
                <w:b/>
                <w:sz w:val="32"/>
              </w:rPr>
              <w:t>Je t</w:t>
            </w:r>
            <w:proofErr w:type="spellEnd"/>
            <w:r w:rsidR="00AE2C15">
              <w:rPr>
                <w:b/>
                <w:sz w:val="32"/>
              </w:rPr>
              <w:t>’adore</w:t>
            </w:r>
          </w:p>
        </w:tc>
      </w:tr>
      <w:tr w:rsidR="00197B21" w14:paraId="7A852CCD" w14:textId="77777777" w:rsidTr="008C2D0B">
        <w:trPr>
          <w:trHeight w:val="544"/>
        </w:trPr>
        <w:tc>
          <w:tcPr>
            <w:tcW w:w="918" w:type="dxa"/>
            <w:tcBorders>
              <w:top w:val="single" w:sz="24" w:space="0" w:color="auto"/>
              <w:left w:val="single" w:sz="24" w:space="0" w:color="auto"/>
            </w:tcBorders>
            <w:vAlign w:val="center"/>
          </w:tcPr>
          <w:p w14:paraId="1779E8B8" w14:textId="77777777" w:rsidR="00197B21" w:rsidRPr="00DD40BC" w:rsidRDefault="00197B21" w:rsidP="00197B21">
            <w:pPr>
              <w:jc w:val="center"/>
              <w:rPr>
                <w:b/>
              </w:rPr>
            </w:pPr>
            <w:r w:rsidRPr="00DD40BC">
              <w:rPr>
                <w:b/>
              </w:rPr>
              <w:t xml:space="preserve">Lesson </w:t>
            </w:r>
          </w:p>
        </w:tc>
        <w:tc>
          <w:tcPr>
            <w:tcW w:w="6051" w:type="dxa"/>
            <w:tcBorders>
              <w:top w:val="single" w:sz="24" w:space="0" w:color="auto"/>
              <w:right w:val="single" w:sz="24" w:space="0" w:color="auto"/>
            </w:tcBorders>
            <w:vAlign w:val="center"/>
          </w:tcPr>
          <w:p w14:paraId="14847D0A" w14:textId="77777777" w:rsidR="00197B21" w:rsidRDefault="00197B21" w:rsidP="00197B21">
            <w:pPr>
              <w:rPr>
                <w:b/>
              </w:rPr>
            </w:pPr>
            <w:r w:rsidRPr="00DD40BC">
              <w:rPr>
                <w:b/>
              </w:rPr>
              <w:t>Key aim/title/objective of the lesson?</w:t>
            </w:r>
            <w:r>
              <w:rPr>
                <w:b/>
              </w:rPr>
              <w:t xml:space="preserve"> </w:t>
            </w:r>
          </w:p>
          <w:p w14:paraId="3AE19104" w14:textId="39BD9AB0" w:rsidR="00197B21" w:rsidRPr="00DD40BC" w:rsidRDefault="00197B21" w:rsidP="00197B21">
            <w:pPr>
              <w:rPr>
                <w:b/>
              </w:rPr>
            </w:pPr>
            <w:r>
              <w:rPr>
                <w:b/>
              </w:rPr>
              <w:t>These may stretch over a number of lessons as appropriate</w:t>
            </w:r>
          </w:p>
        </w:tc>
      </w:tr>
      <w:tr w:rsidR="00197B21" w14:paraId="049DA6CD" w14:textId="77777777" w:rsidTr="008C2D0B">
        <w:trPr>
          <w:trHeight w:val="393"/>
        </w:trPr>
        <w:tc>
          <w:tcPr>
            <w:tcW w:w="918" w:type="dxa"/>
            <w:tcBorders>
              <w:left w:val="single" w:sz="24" w:space="0" w:color="auto"/>
            </w:tcBorders>
            <w:vAlign w:val="center"/>
          </w:tcPr>
          <w:p w14:paraId="6214B952" w14:textId="37A556CA" w:rsidR="00197B21" w:rsidRDefault="00197B21" w:rsidP="00197B21">
            <w:pPr>
              <w:jc w:val="center"/>
            </w:pPr>
          </w:p>
        </w:tc>
        <w:tc>
          <w:tcPr>
            <w:tcW w:w="6051" w:type="dxa"/>
            <w:tcBorders>
              <w:right w:val="single" w:sz="24" w:space="0" w:color="auto"/>
            </w:tcBorders>
            <w:vAlign w:val="center"/>
          </w:tcPr>
          <w:p w14:paraId="50165A93" w14:textId="48561D3A" w:rsidR="00197B21" w:rsidRDefault="00AE2C15" w:rsidP="00197B21">
            <w:r>
              <w:t>Say what you can do in Paris</w:t>
            </w:r>
          </w:p>
        </w:tc>
      </w:tr>
      <w:tr w:rsidR="00197B21" w14:paraId="293150BC" w14:textId="77777777" w:rsidTr="008C2D0B">
        <w:trPr>
          <w:trHeight w:val="378"/>
        </w:trPr>
        <w:tc>
          <w:tcPr>
            <w:tcW w:w="918" w:type="dxa"/>
            <w:tcBorders>
              <w:left w:val="single" w:sz="24" w:space="0" w:color="auto"/>
            </w:tcBorders>
            <w:vAlign w:val="center"/>
          </w:tcPr>
          <w:p w14:paraId="2F14C171" w14:textId="5CFF4A1D" w:rsidR="00197B21" w:rsidRDefault="00197B21" w:rsidP="00197B21">
            <w:pPr>
              <w:jc w:val="center"/>
            </w:pPr>
          </w:p>
        </w:tc>
        <w:tc>
          <w:tcPr>
            <w:tcW w:w="6051" w:type="dxa"/>
            <w:tcBorders>
              <w:right w:val="single" w:sz="24" w:space="0" w:color="auto"/>
            </w:tcBorders>
            <w:vAlign w:val="center"/>
          </w:tcPr>
          <w:p w14:paraId="4A4DE404" w14:textId="4D0717DB" w:rsidR="00197B21" w:rsidRDefault="00AE2C15" w:rsidP="008B3F66">
            <w:r>
              <w:t>Research information on Paris</w:t>
            </w:r>
          </w:p>
        </w:tc>
      </w:tr>
      <w:tr w:rsidR="00197B21" w14:paraId="0A36B19E" w14:textId="77777777" w:rsidTr="008C2D0B">
        <w:trPr>
          <w:trHeight w:val="378"/>
        </w:trPr>
        <w:tc>
          <w:tcPr>
            <w:tcW w:w="918" w:type="dxa"/>
            <w:tcBorders>
              <w:left w:val="single" w:sz="24" w:space="0" w:color="auto"/>
            </w:tcBorders>
            <w:vAlign w:val="center"/>
          </w:tcPr>
          <w:p w14:paraId="63F3099F" w14:textId="48CB265B" w:rsidR="00197B21" w:rsidRDefault="00197B21" w:rsidP="00197B21">
            <w:pPr>
              <w:jc w:val="center"/>
            </w:pPr>
          </w:p>
        </w:tc>
        <w:tc>
          <w:tcPr>
            <w:tcW w:w="6051" w:type="dxa"/>
            <w:tcBorders>
              <w:right w:val="single" w:sz="24" w:space="0" w:color="auto"/>
            </w:tcBorders>
            <w:vAlign w:val="center"/>
          </w:tcPr>
          <w:p w14:paraId="7DC503FB" w14:textId="376C0260" w:rsidR="00197B21" w:rsidRDefault="00AE2C15" w:rsidP="008B3F66">
            <w:r>
              <w:t>Say what activities you like to do</w:t>
            </w:r>
          </w:p>
        </w:tc>
      </w:tr>
      <w:tr w:rsidR="00D7322C" w14:paraId="7A4A55F6" w14:textId="77777777" w:rsidTr="008C2D0B">
        <w:trPr>
          <w:trHeight w:val="378"/>
        </w:trPr>
        <w:tc>
          <w:tcPr>
            <w:tcW w:w="918" w:type="dxa"/>
            <w:tcBorders>
              <w:left w:val="single" w:sz="24" w:space="0" w:color="auto"/>
            </w:tcBorders>
            <w:vAlign w:val="center"/>
          </w:tcPr>
          <w:p w14:paraId="6F48B092" w14:textId="348B5982" w:rsidR="00D7322C" w:rsidRDefault="00D7322C" w:rsidP="00D7322C">
            <w:pPr>
              <w:jc w:val="center"/>
            </w:pPr>
          </w:p>
        </w:tc>
        <w:tc>
          <w:tcPr>
            <w:tcW w:w="6051" w:type="dxa"/>
            <w:tcBorders>
              <w:right w:val="single" w:sz="24" w:space="0" w:color="auto"/>
            </w:tcBorders>
            <w:vAlign w:val="center"/>
          </w:tcPr>
          <w:p w14:paraId="52AAB764" w14:textId="0A7FFD41" w:rsidR="00D7322C" w:rsidRDefault="00AE2C15" w:rsidP="00D7322C">
            <w:r>
              <w:t>Ask for information</w:t>
            </w:r>
          </w:p>
        </w:tc>
      </w:tr>
      <w:tr w:rsidR="00D7322C" w14:paraId="0695362A" w14:textId="77777777" w:rsidTr="008C2D0B">
        <w:trPr>
          <w:trHeight w:val="378"/>
        </w:trPr>
        <w:tc>
          <w:tcPr>
            <w:tcW w:w="918" w:type="dxa"/>
            <w:tcBorders>
              <w:left w:val="single" w:sz="24" w:space="0" w:color="auto"/>
            </w:tcBorders>
            <w:vAlign w:val="center"/>
          </w:tcPr>
          <w:p w14:paraId="10D0A805" w14:textId="60F5B202" w:rsidR="00D7322C" w:rsidRDefault="00D7322C" w:rsidP="00D7322C">
            <w:pPr>
              <w:jc w:val="center"/>
            </w:pPr>
          </w:p>
        </w:tc>
        <w:tc>
          <w:tcPr>
            <w:tcW w:w="6051" w:type="dxa"/>
            <w:tcBorders>
              <w:right w:val="single" w:sz="24" w:space="0" w:color="auto"/>
            </w:tcBorders>
            <w:vAlign w:val="center"/>
          </w:tcPr>
          <w:p w14:paraId="2FCA7FCA" w14:textId="3C1B7D9A" w:rsidR="00D7322C" w:rsidRDefault="00AE2C15" w:rsidP="00D7322C">
            <w:r>
              <w:t>Say what you have visited</w:t>
            </w:r>
          </w:p>
        </w:tc>
      </w:tr>
      <w:tr w:rsidR="00D7322C" w14:paraId="40D09E11" w14:textId="77777777" w:rsidTr="008C2D0B">
        <w:trPr>
          <w:trHeight w:val="378"/>
        </w:trPr>
        <w:tc>
          <w:tcPr>
            <w:tcW w:w="918" w:type="dxa"/>
            <w:tcBorders>
              <w:left w:val="single" w:sz="24" w:space="0" w:color="auto"/>
            </w:tcBorders>
            <w:vAlign w:val="center"/>
          </w:tcPr>
          <w:p w14:paraId="254B8B34" w14:textId="4CBAD223" w:rsidR="00D7322C" w:rsidRDefault="00D7322C" w:rsidP="00D7322C">
            <w:pPr>
              <w:jc w:val="center"/>
            </w:pPr>
          </w:p>
        </w:tc>
        <w:tc>
          <w:tcPr>
            <w:tcW w:w="6051" w:type="dxa"/>
            <w:tcBorders>
              <w:right w:val="single" w:sz="24" w:space="0" w:color="auto"/>
            </w:tcBorders>
            <w:vAlign w:val="center"/>
          </w:tcPr>
          <w:p w14:paraId="5E28083B" w14:textId="5B57CC61" w:rsidR="00D7322C" w:rsidRDefault="00AE2C15" w:rsidP="00D7322C">
            <w:r>
              <w:t>Say what it was like</w:t>
            </w:r>
          </w:p>
        </w:tc>
      </w:tr>
      <w:tr w:rsidR="00D7322C" w14:paraId="01C4F6F3" w14:textId="77777777" w:rsidTr="008C2D0B">
        <w:trPr>
          <w:trHeight w:val="378"/>
        </w:trPr>
        <w:tc>
          <w:tcPr>
            <w:tcW w:w="918" w:type="dxa"/>
            <w:tcBorders>
              <w:left w:val="single" w:sz="24" w:space="0" w:color="auto"/>
            </w:tcBorders>
            <w:vAlign w:val="center"/>
          </w:tcPr>
          <w:p w14:paraId="1E4CDBD4" w14:textId="361C79A2" w:rsidR="00D7322C" w:rsidRDefault="00D7322C" w:rsidP="00D7322C">
            <w:pPr>
              <w:jc w:val="center"/>
            </w:pPr>
          </w:p>
        </w:tc>
        <w:tc>
          <w:tcPr>
            <w:tcW w:w="6051" w:type="dxa"/>
            <w:tcBorders>
              <w:right w:val="single" w:sz="24" w:space="0" w:color="auto"/>
            </w:tcBorders>
            <w:vAlign w:val="center"/>
          </w:tcPr>
          <w:p w14:paraId="059A0BD7" w14:textId="537F2DE6" w:rsidR="00D7322C" w:rsidRDefault="00AE2C15" w:rsidP="00D7322C">
            <w:r>
              <w:t>French festivals</w:t>
            </w:r>
          </w:p>
        </w:tc>
      </w:tr>
      <w:tr w:rsidR="00D7322C" w14:paraId="2B49010C" w14:textId="77777777" w:rsidTr="008C2D0B">
        <w:trPr>
          <w:trHeight w:val="378"/>
        </w:trPr>
        <w:tc>
          <w:tcPr>
            <w:tcW w:w="918" w:type="dxa"/>
            <w:tcBorders>
              <w:left w:val="single" w:sz="24" w:space="0" w:color="auto"/>
            </w:tcBorders>
            <w:vAlign w:val="center"/>
          </w:tcPr>
          <w:p w14:paraId="7C427275" w14:textId="1D44C56C" w:rsidR="00D7322C" w:rsidRDefault="00D7322C" w:rsidP="00D7322C">
            <w:pPr>
              <w:jc w:val="center"/>
            </w:pPr>
          </w:p>
        </w:tc>
        <w:tc>
          <w:tcPr>
            <w:tcW w:w="6051" w:type="dxa"/>
            <w:tcBorders>
              <w:right w:val="single" w:sz="24" w:space="0" w:color="auto"/>
            </w:tcBorders>
            <w:vAlign w:val="center"/>
          </w:tcPr>
          <w:p w14:paraId="1C2DFCD4" w14:textId="49C681E0" w:rsidR="00D7322C" w:rsidRDefault="00AE2C15" w:rsidP="00D7322C">
            <w:r>
              <w:t>Bastille Day</w:t>
            </w:r>
          </w:p>
        </w:tc>
      </w:tr>
      <w:tr w:rsidR="00D7322C" w14:paraId="3E4058BC" w14:textId="77777777" w:rsidTr="008C2D0B">
        <w:trPr>
          <w:trHeight w:val="378"/>
        </w:trPr>
        <w:tc>
          <w:tcPr>
            <w:tcW w:w="918" w:type="dxa"/>
            <w:tcBorders>
              <w:left w:val="single" w:sz="24" w:space="0" w:color="auto"/>
            </w:tcBorders>
            <w:vAlign w:val="center"/>
          </w:tcPr>
          <w:p w14:paraId="2AB9ED65" w14:textId="4DF2F660" w:rsidR="00D7322C" w:rsidRDefault="00D7322C" w:rsidP="00D7322C">
            <w:pPr>
              <w:jc w:val="center"/>
            </w:pPr>
          </w:p>
        </w:tc>
        <w:tc>
          <w:tcPr>
            <w:tcW w:w="6051" w:type="dxa"/>
            <w:tcBorders>
              <w:right w:val="single" w:sz="24" w:space="0" w:color="auto"/>
            </w:tcBorders>
            <w:vAlign w:val="center"/>
          </w:tcPr>
          <w:p w14:paraId="39D512D5" w14:textId="1E946EBB" w:rsidR="00D7322C" w:rsidRDefault="00AE2C15" w:rsidP="00D7322C">
            <w:r>
              <w:t>Understand French celebrations</w:t>
            </w:r>
          </w:p>
        </w:tc>
      </w:tr>
      <w:tr w:rsidR="00D7322C" w14:paraId="59565172" w14:textId="77777777" w:rsidTr="008C2D0B">
        <w:trPr>
          <w:trHeight w:val="378"/>
        </w:trPr>
        <w:tc>
          <w:tcPr>
            <w:tcW w:w="918" w:type="dxa"/>
            <w:tcBorders>
              <w:left w:val="single" w:sz="24" w:space="0" w:color="auto"/>
            </w:tcBorders>
            <w:vAlign w:val="center"/>
          </w:tcPr>
          <w:p w14:paraId="4598F897" w14:textId="056E0601" w:rsidR="00D7322C" w:rsidRDefault="00D7322C" w:rsidP="00D7322C">
            <w:pPr>
              <w:jc w:val="center"/>
            </w:pPr>
          </w:p>
        </w:tc>
        <w:tc>
          <w:tcPr>
            <w:tcW w:w="6051" w:type="dxa"/>
            <w:tcBorders>
              <w:right w:val="single" w:sz="24" w:space="0" w:color="auto"/>
            </w:tcBorders>
            <w:vAlign w:val="center"/>
          </w:tcPr>
          <w:p w14:paraId="18859FF6" w14:textId="18764E20" w:rsidR="00D7322C" w:rsidRPr="00D7322C" w:rsidRDefault="00D7322C" w:rsidP="00D7322C"/>
        </w:tc>
      </w:tr>
      <w:tr w:rsidR="00D7322C" w14:paraId="57DB9854" w14:textId="77777777" w:rsidTr="008C2D0B">
        <w:trPr>
          <w:trHeight w:val="378"/>
        </w:trPr>
        <w:tc>
          <w:tcPr>
            <w:tcW w:w="918" w:type="dxa"/>
            <w:tcBorders>
              <w:left w:val="single" w:sz="24" w:space="0" w:color="auto"/>
            </w:tcBorders>
            <w:vAlign w:val="center"/>
          </w:tcPr>
          <w:p w14:paraId="5F7F5B47" w14:textId="1CD716D8" w:rsidR="00D7322C" w:rsidRDefault="00D7322C" w:rsidP="00D7322C">
            <w:pPr>
              <w:jc w:val="center"/>
            </w:pPr>
          </w:p>
        </w:tc>
        <w:tc>
          <w:tcPr>
            <w:tcW w:w="6051" w:type="dxa"/>
            <w:tcBorders>
              <w:right w:val="single" w:sz="24" w:space="0" w:color="auto"/>
            </w:tcBorders>
            <w:vAlign w:val="center"/>
          </w:tcPr>
          <w:p w14:paraId="33DD9CF8" w14:textId="0D9FE9A2" w:rsidR="00D7322C" w:rsidRDefault="00D7322C" w:rsidP="00D7322C"/>
        </w:tc>
      </w:tr>
      <w:tr w:rsidR="00D7322C" w14:paraId="5600B365" w14:textId="77777777" w:rsidTr="008C2D0B">
        <w:trPr>
          <w:trHeight w:val="378"/>
        </w:trPr>
        <w:tc>
          <w:tcPr>
            <w:tcW w:w="918" w:type="dxa"/>
            <w:tcBorders>
              <w:left w:val="single" w:sz="24" w:space="0" w:color="auto"/>
            </w:tcBorders>
            <w:vAlign w:val="center"/>
          </w:tcPr>
          <w:p w14:paraId="1E6FBE3C" w14:textId="7F23101B" w:rsidR="00D7322C" w:rsidRDefault="00D7322C" w:rsidP="00D7322C">
            <w:pPr>
              <w:jc w:val="center"/>
            </w:pPr>
          </w:p>
        </w:tc>
        <w:tc>
          <w:tcPr>
            <w:tcW w:w="6051" w:type="dxa"/>
            <w:tcBorders>
              <w:right w:val="single" w:sz="24" w:space="0" w:color="auto"/>
            </w:tcBorders>
            <w:vAlign w:val="center"/>
          </w:tcPr>
          <w:p w14:paraId="3FE1D6F8" w14:textId="0BE8DAEB" w:rsidR="00D7322C" w:rsidRDefault="00D7322C" w:rsidP="00D7322C"/>
        </w:tc>
      </w:tr>
      <w:tr w:rsidR="00D7322C" w14:paraId="27DBF602" w14:textId="77777777" w:rsidTr="008C2D0B">
        <w:trPr>
          <w:trHeight w:val="378"/>
        </w:trPr>
        <w:tc>
          <w:tcPr>
            <w:tcW w:w="918" w:type="dxa"/>
            <w:tcBorders>
              <w:left w:val="single" w:sz="24" w:space="0" w:color="auto"/>
            </w:tcBorders>
            <w:vAlign w:val="center"/>
          </w:tcPr>
          <w:p w14:paraId="73EF1895" w14:textId="292F053E" w:rsidR="00D7322C" w:rsidRDefault="00D7322C" w:rsidP="00D7322C">
            <w:pPr>
              <w:jc w:val="center"/>
            </w:pPr>
          </w:p>
        </w:tc>
        <w:tc>
          <w:tcPr>
            <w:tcW w:w="6051" w:type="dxa"/>
            <w:tcBorders>
              <w:right w:val="single" w:sz="24" w:space="0" w:color="auto"/>
            </w:tcBorders>
            <w:vAlign w:val="center"/>
          </w:tcPr>
          <w:p w14:paraId="368F05BD" w14:textId="0CB8D0CD" w:rsidR="00D7322C" w:rsidRDefault="00D7322C" w:rsidP="00D7322C"/>
        </w:tc>
      </w:tr>
      <w:tr w:rsidR="00D7322C" w14:paraId="6DABBA4C" w14:textId="77777777" w:rsidTr="008C2D0B">
        <w:trPr>
          <w:trHeight w:val="378"/>
        </w:trPr>
        <w:tc>
          <w:tcPr>
            <w:tcW w:w="918" w:type="dxa"/>
            <w:tcBorders>
              <w:left w:val="single" w:sz="24" w:space="0" w:color="auto"/>
              <w:bottom w:val="single" w:sz="4" w:space="0" w:color="auto"/>
            </w:tcBorders>
            <w:vAlign w:val="center"/>
          </w:tcPr>
          <w:p w14:paraId="0718A34D" w14:textId="5FEAD4F6" w:rsidR="00D7322C" w:rsidRDefault="00D7322C" w:rsidP="00D7322C">
            <w:pPr>
              <w:jc w:val="center"/>
            </w:pPr>
          </w:p>
        </w:tc>
        <w:tc>
          <w:tcPr>
            <w:tcW w:w="6051" w:type="dxa"/>
            <w:tcBorders>
              <w:right w:val="single" w:sz="24" w:space="0" w:color="auto"/>
            </w:tcBorders>
            <w:vAlign w:val="center"/>
          </w:tcPr>
          <w:p w14:paraId="573D81DC" w14:textId="22CE5049" w:rsidR="00D7322C" w:rsidRDefault="00D7322C" w:rsidP="00D7322C"/>
        </w:tc>
      </w:tr>
      <w:tr w:rsidR="00D7322C" w14:paraId="45B13CB6" w14:textId="77777777" w:rsidTr="008C2D0B">
        <w:trPr>
          <w:trHeight w:val="378"/>
        </w:trPr>
        <w:tc>
          <w:tcPr>
            <w:tcW w:w="918" w:type="dxa"/>
            <w:tcBorders>
              <w:left w:val="single" w:sz="24" w:space="0" w:color="auto"/>
              <w:bottom w:val="single" w:sz="24" w:space="0" w:color="auto"/>
            </w:tcBorders>
            <w:vAlign w:val="center"/>
          </w:tcPr>
          <w:p w14:paraId="7016EC98" w14:textId="717EA6B5" w:rsidR="00D7322C" w:rsidRDefault="00D7322C" w:rsidP="00D7322C">
            <w:pPr>
              <w:jc w:val="center"/>
            </w:pPr>
          </w:p>
        </w:tc>
        <w:tc>
          <w:tcPr>
            <w:tcW w:w="6051" w:type="dxa"/>
            <w:tcBorders>
              <w:bottom w:val="single" w:sz="24" w:space="0" w:color="auto"/>
              <w:right w:val="single" w:sz="24" w:space="0" w:color="auto"/>
            </w:tcBorders>
            <w:vAlign w:val="center"/>
          </w:tcPr>
          <w:p w14:paraId="3A7F6E24" w14:textId="69BF7880" w:rsidR="00D7322C" w:rsidRDefault="00D7322C" w:rsidP="00D7322C"/>
        </w:tc>
      </w:tr>
      <w:tr w:rsidR="00D7322C" w14:paraId="40F89D04" w14:textId="77777777" w:rsidTr="008C2D0B">
        <w:trPr>
          <w:trHeight w:val="2754"/>
        </w:trPr>
        <w:tc>
          <w:tcPr>
            <w:tcW w:w="6969" w:type="dxa"/>
            <w:gridSpan w:val="2"/>
            <w:tcBorders>
              <w:left w:val="single" w:sz="24" w:space="0" w:color="auto"/>
              <w:bottom w:val="single" w:sz="24" w:space="0" w:color="auto"/>
              <w:right w:val="single" w:sz="24" w:space="0" w:color="auto"/>
            </w:tcBorders>
          </w:tcPr>
          <w:p w14:paraId="352B5936" w14:textId="673B51D6" w:rsidR="00D7322C" w:rsidRPr="00D7322C" w:rsidRDefault="00D7322C" w:rsidP="00D7322C">
            <w:pPr>
              <w:rPr>
                <w:sz w:val="20"/>
              </w:rPr>
            </w:pPr>
            <w:r w:rsidRPr="00D7322C">
              <w:rPr>
                <w:sz w:val="20"/>
              </w:rPr>
              <w:t>Key vocabulary and/or key reading</w:t>
            </w:r>
          </w:p>
          <w:p w14:paraId="70E976CA" w14:textId="5A45ACE9" w:rsidR="00AE2C15" w:rsidRPr="00AE2C15" w:rsidRDefault="00AE2C15" w:rsidP="00AE2C15">
            <w:pPr>
              <w:pStyle w:val="ListParagraph"/>
              <w:numPr>
                <w:ilvl w:val="0"/>
                <w:numId w:val="4"/>
              </w:numPr>
              <w:rPr>
                <w:rFonts w:ascii="Comic Sans MS" w:hAnsi="Comic Sans MS"/>
                <w:sz w:val="18"/>
                <w:szCs w:val="18"/>
              </w:rPr>
            </w:pPr>
            <w:r w:rsidRPr="00AE2C15">
              <w:rPr>
                <w:rFonts w:ascii="Comic Sans MS" w:hAnsi="Comic Sans MS"/>
                <w:sz w:val="18"/>
                <w:szCs w:val="18"/>
              </w:rPr>
              <w:t xml:space="preserve">On </w:t>
            </w:r>
            <w:proofErr w:type="spellStart"/>
            <w:r w:rsidRPr="00AE2C15">
              <w:rPr>
                <w:rFonts w:ascii="Comic Sans MS" w:hAnsi="Comic Sans MS"/>
                <w:sz w:val="18"/>
                <w:szCs w:val="18"/>
              </w:rPr>
              <w:t>peut</w:t>
            </w:r>
            <w:proofErr w:type="spellEnd"/>
            <w:r w:rsidRPr="00AE2C15">
              <w:rPr>
                <w:rFonts w:ascii="Comic Sans MS" w:hAnsi="Comic Sans MS"/>
                <w:sz w:val="18"/>
                <w:szCs w:val="18"/>
              </w:rPr>
              <w:t xml:space="preserve"> + infinitive</w:t>
            </w:r>
          </w:p>
          <w:p w14:paraId="477F0E75" w14:textId="3A7D8179" w:rsidR="00AE2C15" w:rsidRPr="00AE2C15" w:rsidRDefault="00AE2C15" w:rsidP="00AE2C15">
            <w:pPr>
              <w:pStyle w:val="ListParagraph"/>
              <w:numPr>
                <w:ilvl w:val="0"/>
                <w:numId w:val="4"/>
              </w:numPr>
              <w:rPr>
                <w:rFonts w:ascii="Comic Sans MS" w:hAnsi="Comic Sans MS"/>
                <w:sz w:val="18"/>
                <w:szCs w:val="18"/>
              </w:rPr>
            </w:pPr>
            <w:proofErr w:type="spellStart"/>
            <w:r w:rsidRPr="00AE2C15">
              <w:rPr>
                <w:rFonts w:ascii="Comic Sans MS" w:hAnsi="Comic Sans MS"/>
                <w:sz w:val="18"/>
                <w:szCs w:val="18"/>
              </w:rPr>
              <w:t>J’aime</w:t>
            </w:r>
            <w:proofErr w:type="spellEnd"/>
            <w:r w:rsidRPr="00AE2C15">
              <w:rPr>
                <w:rFonts w:ascii="Comic Sans MS" w:hAnsi="Comic Sans MS"/>
                <w:sz w:val="18"/>
                <w:szCs w:val="18"/>
              </w:rPr>
              <w:t xml:space="preserve"> + infinitive</w:t>
            </w:r>
          </w:p>
          <w:p w14:paraId="705A67B5" w14:textId="651063B7" w:rsidR="00AE2C15" w:rsidRPr="00AE2C15" w:rsidRDefault="00AE2C15" w:rsidP="00AE2C15">
            <w:pPr>
              <w:pStyle w:val="ListParagraph"/>
              <w:numPr>
                <w:ilvl w:val="0"/>
                <w:numId w:val="4"/>
              </w:numPr>
              <w:rPr>
                <w:rFonts w:ascii="Comic Sans MS" w:hAnsi="Comic Sans MS"/>
                <w:sz w:val="18"/>
                <w:szCs w:val="18"/>
              </w:rPr>
            </w:pPr>
            <w:r w:rsidRPr="00AE2C15">
              <w:rPr>
                <w:rFonts w:ascii="Comic Sans MS" w:hAnsi="Comic Sans MS"/>
                <w:sz w:val="18"/>
                <w:szCs w:val="18"/>
              </w:rPr>
              <w:t>Formation of questions</w:t>
            </w:r>
          </w:p>
          <w:p w14:paraId="40CE5320" w14:textId="717D44B6" w:rsidR="00AE2C15" w:rsidRPr="00AE2C15" w:rsidRDefault="00AE2C15" w:rsidP="00AE2C15">
            <w:pPr>
              <w:pStyle w:val="ListParagraph"/>
              <w:numPr>
                <w:ilvl w:val="0"/>
                <w:numId w:val="4"/>
              </w:numPr>
              <w:rPr>
                <w:rFonts w:ascii="Comic Sans MS" w:hAnsi="Comic Sans MS"/>
                <w:sz w:val="18"/>
                <w:szCs w:val="18"/>
              </w:rPr>
            </w:pPr>
            <w:r w:rsidRPr="00AE2C15">
              <w:rPr>
                <w:rFonts w:ascii="Comic Sans MS" w:hAnsi="Comic Sans MS"/>
                <w:sz w:val="18"/>
                <w:szCs w:val="18"/>
              </w:rPr>
              <w:t>Key question words</w:t>
            </w:r>
          </w:p>
          <w:p w14:paraId="5749765A" w14:textId="60C0FCDB" w:rsidR="00AE2C15" w:rsidRPr="00AE2C15" w:rsidRDefault="00AE2C15" w:rsidP="00AE2C15">
            <w:pPr>
              <w:pStyle w:val="ListParagraph"/>
              <w:numPr>
                <w:ilvl w:val="0"/>
                <w:numId w:val="4"/>
              </w:numPr>
              <w:rPr>
                <w:rFonts w:ascii="Comic Sans MS" w:hAnsi="Comic Sans MS"/>
                <w:sz w:val="18"/>
                <w:szCs w:val="18"/>
              </w:rPr>
            </w:pPr>
            <w:r w:rsidRPr="00AE2C15">
              <w:rPr>
                <w:rFonts w:ascii="Comic Sans MS" w:hAnsi="Comic Sans MS"/>
                <w:sz w:val="18"/>
                <w:szCs w:val="18"/>
              </w:rPr>
              <w:t>Perfect tense</w:t>
            </w:r>
          </w:p>
          <w:p w14:paraId="288DE596" w14:textId="788F23DB" w:rsidR="00D7322C" w:rsidRDefault="00AE2C15" w:rsidP="00AE2C15">
            <w:pPr>
              <w:pStyle w:val="ListParagraph"/>
              <w:numPr>
                <w:ilvl w:val="0"/>
                <w:numId w:val="4"/>
              </w:numPr>
              <w:rPr>
                <w:sz w:val="18"/>
                <w:szCs w:val="18"/>
              </w:rPr>
            </w:pPr>
            <w:r w:rsidRPr="00AE2C15">
              <w:rPr>
                <w:rFonts w:ascii="Comic Sans MS" w:hAnsi="Comic Sans MS"/>
                <w:sz w:val="18"/>
                <w:szCs w:val="18"/>
              </w:rPr>
              <w:t>Perfect tense and negatives</w:t>
            </w:r>
            <w:r w:rsidRPr="00AE2C15">
              <w:rPr>
                <w:sz w:val="18"/>
                <w:szCs w:val="18"/>
              </w:rPr>
              <w:t xml:space="preserve"> </w:t>
            </w:r>
          </w:p>
          <w:p w14:paraId="265F8757" w14:textId="0B544D05" w:rsidR="00AE2C15" w:rsidRPr="00AE2C15" w:rsidRDefault="00AE2C15" w:rsidP="00AE2C15">
            <w:pPr>
              <w:pStyle w:val="ListParagraph"/>
              <w:numPr>
                <w:ilvl w:val="0"/>
                <w:numId w:val="4"/>
              </w:numPr>
              <w:rPr>
                <w:sz w:val="18"/>
                <w:szCs w:val="18"/>
              </w:rPr>
            </w:pPr>
            <w:r>
              <w:rPr>
                <w:sz w:val="18"/>
                <w:szCs w:val="18"/>
              </w:rPr>
              <w:t>Opinions</w:t>
            </w:r>
          </w:p>
          <w:p w14:paraId="69A788B7" w14:textId="77777777" w:rsidR="00D7322C" w:rsidRPr="00D7322C" w:rsidRDefault="00D7322C" w:rsidP="00D7322C">
            <w:pPr>
              <w:rPr>
                <w:sz w:val="20"/>
              </w:rPr>
            </w:pPr>
            <w:r w:rsidRPr="00D7322C">
              <w:rPr>
                <w:sz w:val="20"/>
              </w:rPr>
              <w:t xml:space="preserve">Numeracy Opportunities </w:t>
            </w:r>
          </w:p>
          <w:p w14:paraId="6FB7C3B0" w14:textId="77777777" w:rsidR="00D7322C" w:rsidRPr="00AE2C15" w:rsidRDefault="00D7322C" w:rsidP="00AE2C15">
            <w:pPr>
              <w:pStyle w:val="ListParagraph"/>
              <w:numPr>
                <w:ilvl w:val="0"/>
                <w:numId w:val="5"/>
              </w:numPr>
              <w:rPr>
                <w:sz w:val="20"/>
              </w:rPr>
            </w:pPr>
            <w:r w:rsidRPr="00AE2C15">
              <w:rPr>
                <w:sz w:val="20"/>
              </w:rPr>
              <w:t>Numbers in French 1-100</w:t>
            </w:r>
          </w:p>
          <w:p w14:paraId="4EE220D1" w14:textId="77777777" w:rsidR="00D7322C" w:rsidRPr="00AE2C15" w:rsidRDefault="00D7322C" w:rsidP="00AE2C15">
            <w:pPr>
              <w:pStyle w:val="ListParagraph"/>
              <w:numPr>
                <w:ilvl w:val="0"/>
                <w:numId w:val="5"/>
              </w:numPr>
              <w:rPr>
                <w:sz w:val="20"/>
              </w:rPr>
            </w:pPr>
            <w:r w:rsidRPr="00AE2C15">
              <w:rPr>
                <w:sz w:val="20"/>
              </w:rPr>
              <w:t>Currency</w:t>
            </w:r>
          </w:p>
          <w:p w14:paraId="3B72DF98" w14:textId="4B48E0C0" w:rsidR="00AE2C15" w:rsidRDefault="00AE2C15" w:rsidP="00AE2C15">
            <w:pPr>
              <w:pStyle w:val="ListParagraph"/>
              <w:numPr>
                <w:ilvl w:val="0"/>
                <w:numId w:val="5"/>
              </w:numPr>
            </w:pPr>
            <w:r w:rsidRPr="00AE2C15">
              <w:rPr>
                <w:sz w:val="20"/>
              </w:rPr>
              <w:t>Telling the time</w:t>
            </w:r>
          </w:p>
        </w:tc>
      </w:tr>
    </w:tbl>
    <w:p w14:paraId="1CAC7148" w14:textId="77777777" w:rsidR="00EA17D0" w:rsidRDefault="008C2D0B" w:rsidP="00F97B8F">
      <w:r>
        <w:rPr>
          <w:noProof/>
          <w:lang w:eastAsia="en-GB"/>
        </w:rPr>
        <mc:AlternateContent>
          <mc:Choice Requires="wps">
            <w:drawing>
              <wp:anchor distT="0" distB="0" distL="114300" distR="114300" simplePos="0" relativeHeight="251660288" behindDoc="0" locked="0" layoutInCell="1" allowOverlap="1" wp14:anchorId="7E736575" wp14:editId="0F976A1F">
                <wp:simplePos x="0" y="0"/>
                <wp:positionH relativeFrom="column">
                  <wp:posOffset>-532130</wp:posOffset>
                </wp:positionH>
                <wp:positionV relativeFrom="paragraph">
                  <wp:posOffset>-9526</wp:posOffset>
                </wp:positionV>
                <wp:extent cx="5238750" cy="33242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5238750" cy="332422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6326A6" w14:textId="132556F2" w:rsidR="00DD19CE" w:rsidRDefault="00DD40BC" w:rsidP="00DD40BC">
                            <w:pPr>
                              <w:rPr>
                                <w:sz w:val="20"/>
                                <w:szCs w:val="20"/>
                              </w:rPr>
                            </w:pPr>
                            <w:r w:rsidRPr="00DD19CE">
                              <w:rPr>
                                <w:sz w:val="20"/>
                                <w:szCs w:val="20"/>
                              </w:rPr>
                              <w:t>How does this topi</w:t>
                            </w:r>
                            <w:r w:rsidR="008C2D0B" w:rsidRPr="00DD19CE">
                              <w:rPr>
                                <w:sz w:val="20"/>
                                <w:szCs w:val="20"/>
                              </w:rPr>
                              <w:t>c</w:t>
                            </w:r>
                            <w:r w:rsidR="00C42433" w:rsidRPr="00DD19CE">
                              <w:rPr>
                                <w:sz w:val="20"/>
                                <w:szCs w:val="20"/>
                              </w:rPr>
                              <w:t xml:space="preserve"> build on </w:t>
                            </w:r>
                            <w:r w:rsidRPr="00DD19CE">
                              <w:rPr>
                                <w:b/>
                                <w:i/>
                                <w:sz w:val="20"/>
                                <w:szCs w:val="20"/>
                              </w:rPr>
                              <w:t>prior</w:t>
                            </w:r>
                            <w:r w:rsidRPr="00DD19CE">
                              <w:rPr>
                                <w:sz w:val="20"/>
                                <w:szCs w:val="20"/>
                              </w:rPr>
                              <w:t xml:space="preserve"> learning?</w:t>
                            </w:r>
                          </w:p>
                          <w:p w14:paraId="1A854534" w14:textId="79B10209" w:rsidR="00AE2C15" w:rsidRDefault="00AE2C15" w:rsidP="00DD40BC">
                            <w:pPr>
                              <w:rPr>
                                <w:sz w:val="20"/>
                                <w:szCs w:val="20"/>
                              </w:rPr>
                            </w:pPr>
                            <w:r>
                              <w:rPr>
                                <w:sz w:val="20"/>
                                <w:szCs w:val="20"/>
                              </w:rPr>
                              <w:t xml:space="preserve">Pupils revisit previous information abut the country and specifically the capital and develops further cultural understanding. We reinforce </w:t>
                            </w:r>
                            <w:proofErr w:type="spellStart"/>
                            <w:r>
                              <w:rPr>
                                <w:sz w:val="20"/>
                                <w:szCs w:val="20"/>
                              </w:rPr>
                              <w:t>er</w:t>
                            </w:r>
                            <w:proofErr w:type="spellEnd"/>
                            <w:r>
                              <w:rPr>
                                <w:sz w:val="20"/>
                                <w:szCs w:val="20"/>
                              </w:rPr>
                              <w:t xml:space="preserve"> verbs and negatives through the verbs of liking and disliking</w:t>
                            </w:r>
                          </w:p>
                          <w:p w14:paraId="37139EA9" w14:textId="77777777" w:rsidR="00B601D7" w:rsidRDefault="00DD40BC" w:rsidP="00197B21">
                            <w:pPr>
                              <w:rPr>
                                <w:sz w:val="20"/>
                                <w:szCs w:val="20"/>
                              </w:rPr>
                            </w:pPr>
                            <w:r w:rsidRPr="00DD19CE">
                              <w:rPr>
                                <w:sz w:val="20"/>
                                <w:szCs w:val="20"/>
                              </w:rPr>
                              <w:t xml:space="preserve">How </w:t>
                            </w:r>
                            <w:r w:rsidR="00C42433" w:rsidRPr="00DD19CE">
                              <w:rPr>
                                <w:sz w:val="20"/>
                                <w:szCs w:val="20"/>
                              </w:rPr>
                              <w:t xml:space="preserve">does </w:t>
                            </w:r>
                            <w:r w:rsidR="008C2D0B" w:rsidRPr="00DD19CE">
                              <w:rPr>
                                <w:sz w:val="20"/>
                                <w:szCs w:val="20"/>
                              </w:rPr>
                              <w:t xml:space="preserve">the work during </w:t>
                            </w:r>
                            <w:r w:rsidR="00C42433" w:rsidRPr="00DD19CE">
                              <w:rPr>
                                <w:sz w:val="20"/>
                                <w:szCs w:val="20"/>
                              </w:rPr>
                              <w:t>this topic prepare for future learning</w:t>
                            </w:r>
                            <w:r w:rsidR="008C2D0B" w:rsidRPr="00DD19CE">
                              <w:rPr>
                                <w:sz w:val="20"/>
                                <w:szCs w:val="20"/>
                              </w:rPr>
                              <w:t>?</w:t>
                            </w:r>
                            <w:r w:rsidR="00B601D7" w:rsidRPr="00B601D7">
                              <w:rPr>
                                <w:sz w:val="20"/>
                                <w:szCs w:val="20"/>
                              </w:rPr>
                              <w:t xml:space="preserve"> </w:t>
                            </w:r>
                          </w:p>
                          <w:p w14:paraId="4FC4DD9F" w14:textId="03CAB9B5" w:rsidR="00DD19CE" w:rsidRDefault="00B601D7" w:rsidP="00197B21">
                            <w:pPr>
                              <w:rPr>
                                <w:sz w:val="20"/>
                                <w:szCs w:val="20"/>
                              </w:rPr>
                            </w:pPr>
                            <w:r>
                              <w:rPr>
                                <w:sz w:val="20"/>
                                <w:szCs w:val="20"/>
                              </w:rPr>
                              <w:t xml:space="preserve">This topic </w:t>
                            </w:r>
                            <w:r w:rsidR="00AE2C15">
                              <w:rPr>
                                <w:sz w:val="20"/>
                                <w:szCs w:val="20"/>
                              </w:rPr>
                              <w:t>introduces the perfect tense of verbs which are a key component of the GCSE examination and of any topic</w:t>
                            </w:r>
                            <w:r>
                              <w:rPr>
                                <w:sz w:val="20"/>
                                <w:szCs w:val="20"/>
                              </w:rPr>
                              <w:t>.</w:t>
                            </w:r>
                            <w:r w:rsidR="00AE2C15">
                              <w:rPr>
                                <w:sz w:val="20"/>
                                <w:szCs w:val="20"/>
                              </w:rPr>
                              <w:t xml:space="preserve"> We have further development on festivals which is a full GCSE unit. The whole module </w:t>
                            </w:r>
                            <w:r w:rsidR="000A6705">
                              <w:rPr>
                                <w:sz w:val="20"/>
                                <w:szCs w:val="20"/>
                              </w:rPr>
                              <w:t>is an intrinsic part of the GCSE course but gives the pupils the tools to develop their understanding of French into year 9 and beyond</w:t>
                            </w:r>
                          </w:p>
                          <w:p w14:paraId="2E1965A5" w14:textId="5E61071C" w:rsidR="00DD19CE" w:rsidRDefault="00197B21" w:rsidP="00197B21">
                            <w:pPr>
                              <w:rPr>
                                <w:sz w:val="20"/>
                                <w:szCs w:val="20"/>
                              </w:rPr>
                            </w:pPr>
                            <w:r w:rsidRPr="00DD19CE">
                              <w:rPr>
                                <w:sz w:val="20"/>
                                <w:szCs w:val="20"/>
                              </w:rPr>
                              <w:t xml:space="preserve">How will learning be </w:t>
                            </w:r>
                            <w:r w:rsidRPr="00DD19CE">
                              <w:rPr>
                                <w:b/>
                                <w:sz w:val="20"/>
                                <w:szCs w:val="20"/>
                              </w:rPr>
                              <w:t>assessed</w:t>
                            </w:r>
                            <w:r w:rsidRPr="00DD19CE">
                              <w:rPr>
                                <w:sz w:val="20"/>
                                <w:szCs w:val="20"/>
                              </w:rPr>
                              <w:t xml:space="preserve"> and </w:t>
                            </w:r>
                            <w:r w:rsidRPr="00DD19CE">
                              <w:rPr>
                                <w:b/>
                                <w:sz w:val="20"/>
                                <w:szCs w:val="20"/>
                              </w:rPr>
                              <w:t>feedback</w:t>
                            </w:r>
                            <w:r w:rsidRPr="00DD19CE">
                              <w:rPr>
                                <w:sz w:val="20"/>
                                <w:szCs w:val="20"/>
                              </w:rPr>
                              <w:t xml:space="preserve"> provided in this scheme? </w:t>
                            </w:r>
                          </w:p>
                          <w:p w14:paraId="4B5AAE3D" w14:textId="21CD8C8D" w:rsidR="00A873CA" w:rsidRPr="00DD19CE" w:rsidRDefault="004F05F9" w:rsidP="00197B21">
                            <w:pPr>
                              <w:rPr>
                                <w:sz w:val="20"/>
                                <w:szCs w:val="20"/>
                              </w:rPr>
                            </w:pPr>
                            <w:r>
                              <w:rPr>
                                <w:sz w:val="20"/>
                                <w:szCs w:val="20"/>
                              </w:rPr>
                              <w:t>As with previous modules, p</w:t>
                            </w:r>
                            <w:r w:rsidR="00A873CA">
                              <w:rPr>
                                <w:sz w:val="20"/>
                                <w:szCs w:val="20"/>
                              </w:rPr>
                              <w:t xml:space="preserve">upils will have modular tests conducted at numerous occasions throughout the year, acting as the formal assessment for pupils. Students will have low stakes testes conducted throughout the year and will use metacognitive techniques and reflections, in order to assess their own learning and identify areas for their own personal improvement. </w:t>
                            </w:r>
                          </w:p>
                          <w:p w14:paraId="7B485ED8" w14:textId="77777777" w:rsidR="00197B21" w:rsidRPr="008C2D0B" w:rsidRDefault="00197B21" w:rsidP="00DD4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6575" id="Rectangle 2" o:spid="_x0000_s1026" style="position:absolute;margin-left:-41.9pt;margin-top:-.75pt;width:412.5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" filled="f" strokecolor="black [3213]" strokeweight="3pt">
                <v:textbox>
                  <w:txbxContent>
                    <w:p w14:paraId="476326A6" w14:textId="132556F2" w:rsidR="00DD19CE" w:rsidRDefault="00DD40BC" w:rsidP="00DD40BC">
                      <w:pPr>
                        <w:rPr>
                          <w:sz w:val="20"/>
                          <w:szCs w:val="20"/>
                        </w:rPr>
                      </w:pPr>
                      <w:r w:rsidRPr="00DD19CE">
                        <w:rPr>
                          <w:sz w:val="20"/>
                          <w:szCs w:val="20"/>
                        </w:rPr>
                        <w:t>How does this topi</w:t>
                      </w:r>
                      <w:r w:rsidR="008C2D0B" w:rsidRPr="00DD19CE">
                        <w:rPr>
                          <w:sz w:val="20"/>
                          <w:szCs w:val="20"/>
                        </w:rPr>
                        <w:t>c</w:t>
                      </w:r>
                      <w:r w:rsidR="00C42433" w:rsidRPr="00DD19CE">
                        <w:rPr>
                          <w:sz w:val="20"/>
                          <w:szCs w:val="20"/>
                        </w:rPr>
                        <w:t xml:space="preserve"> build on </w:t>
                      </w:r>
                      <w:r w:rsidRPr="00DD19CE">
                        <w:rPr>
                          <w:b/>
                          <w:i/>
                          <w:sz w:val="20"/>
                          <w:szCs w:val="20"/>
                        </w:rPr>
                        <w:t>prior</w:t>
                      </w:r>
                      <w:r w:rsidRPr="00DD19CE">
                        <w:rPr>
                          <w:sz w:val="20"/>
                          <w:szCs w:val="20"/>
                        </w:rPr>
                        <w:t xml:space="preserve"> learning?</w:t>
                      </w:r>
                    </w:p>
                    <w:p w14:paraId="1A854534" w14:textId="79B10209" w:rsidR="00AE2C15" w:rsidRDefault="00AE2C15" w:rsidP="00DD40BC">
                      <w:pPr>
                        <w:rPr>
                          <w:sz w:val="20"/>
                          <w:szCs w:val="20"/>
                        </w:rPr>
                      </w:pPr>
                      <w:r>
                        <w:rPr>
                          <w:sz w:val="20"/>
                          <w:szCs w:val="20"/>
                        </w:rPr>
                        <w:t xml:space="preserve">Pupils revisit previous information abut the country and specifically the capital and develops further cultural understanding. We reinforce </w:t>
                      </w:r>
                      <w:proofErr w:type="spellStart"/>
                      <w:r>
                        <w:rPr>
                          <w:sz w:val="20"/>
                          <w:szCs w:val="20"/>
                        </w:rPr>
                        <w:t>er</w:t>
                      </w:r>
                      <w:proofErr w:type="spellEnd"/>
                      <w:r>
                        <w:rPr>
                          <w:sz w:val="20"/>
                          <w:szCs w:val="20"/>
                        </w:rPr>
                        <w:t xml:space="preserve"> verbs and negatives through the verbs of liking and disliking</w:t>
                      </w:r>
                    </w:p>
                    <w:p w14:paraId="37139EA9" w14:textId="77777777" w:rsidR="00B601D7" w:rsidRDefault="00DD40BC" w:rsidP="00197B21">
                      <w:pPr>
                        <w:rPr>
                          <w:sz w:val="20"/>
                          <w:szCs w:val="20"/>
                        </w:rPr>
                      </w:pPr>
                      <w:r w:rsidRPr="00DD19CE">
                        <w:rPr>
                          <w:sz w:val="20"/>
                          <w:szCs w:val="20"/>
                        </w:rPr>
                        <w:t xml:space="preserve">How </w:t>
                      </w:r>
                      <w:r w:rsidR="00C42433" w:rsidRPr="00DD19CE">
                        <w:rPr>
                          <w:sz w:val="20"/>
                          <w:szCs w:val="20"/>
                        </w:rPr>
                        <w:t xml:space="preserve">does </w:t>
                      </w:r>
                      <w:r w:rsidR="008C2D0B" w:rsidRPr="00DD19CE">
                        <w:rPr>
                          <w:sz w:val="20"/>
                          <w:szCs w:val="20"/>
                        </w:rPr>
                        <w:t xml:space="preserve">the work during </w:t>
                      </w:r>
                      <w:r w:rsidR="00C42433" w:rsidRPr="00DD19CE">
                        <w:rPr>
                          <w:sz w:val="20"/>
                          <w:szCs w:val="20"/>
                        </w:rPr>
                        <w:t>this topic prepare for future learning</w:t>
                      </w:r>
                      <w:r w:rsidR="008C2D0B" w:rsidRPr="00DD19CE">
                        <w:rPr>
                          <w:sz w:val="20"/>
                          <w:szCs w:val="20"/>
                        </w:rPr>
                        <w:t>?</w:t>
                      </w:r>
                      <w:r w:rsidR="00B601D7" w:rsidRPr="00B601D7">
                        <w:rPr>
                          <w:sz w:val="20"/>
                          <w:szCs w:val="20"/>
                        </w:rPr>
                        <w:t xml:space="preserve"> </w:t>
                      </w:r>
                    </w:p>
                    <w:p w14:paraId="4FC4DD9F" w14:textId="03CAB9B5" w:rsidR="00DD19CE" w:rsidRDefault="00B601D7" w:rsidP="00197B21">
                      <w:pPr>
                        <w:rPr>
                          <w:sz w:val="20"/>
                          <w:szCs w:val="20"/>
                        </w:rPr>
                      </w:pPr>
                      <w:r>
                        <w:rPr>
                          <w:sz w:val="20"/>
                          <w:szCs w:val="20"/>
                        </w:rPr>
                        <w:t xml:space="preserve">This topic </w:t>
                      </w:r>
                      <w:r w:rsidR="00AE2C15">
                        <w:rPr>
                          <w:sz w:val="20"/>
                          <w:szCs w:val="20"/>
                        </w:rPr>
                        <w:t>introduces the perfect tense of verbs which are a key component of the GCSE examination and of any topic</w:t>
                      </w:r>
                      <w:r>
                        <w:rPr>
                          <w:sz w:val="20"/>
                          <w:szCs w:val="20"/>
                        </w:rPr>
                        <w:t>.</w:t>
                      </w:r>
                      <w:r w:rsidR="00AE2C15">
                        <w:rPr>
                          <w:sz w:val="20"/>
                          <w:szCs w:val="20"/>
                        </w:rPr>
                        <w:t xml:space="preserve"> We have further development on festivals which is a full GCSE unit. The whole module </w:t>
                      </w:r>
                      <w:r w:rsidR="000A6705">
                        <w:rPr>
                          <w:sz w:val="20"/>
                          <w:szCs w:val="20"/>
                        </w:rPr>
                        <w:t>is an intrinsic part of the GCSE course but gives the pupils the tools to develop their understanding of French into year 9 and beyond</w:t>
                      </w:r>
                    </w:p>
                    <w:p w14:paraId="2E1965A5" w14:textId="5E61071C" w:rsidR="00DD19CE" w:rsidRDefault="00197B21" w:rsidP="00197B21">
                      <w:pPr>
                        <w:rPr>
                          <w:sz w:val="20"/>
                          <w:szCs w:val="20"/>
                        </w:rPr>
                      </w:pPr>
                      <w:r w:rsidRPr="00DD19CE">
                        <w:rPr>
                          <w:sz w:val="20"/>
                          <w:szCs w:val="20"/>
                        </w:rPr>
                        <w:t xml:space="preserve">How will learning be </w:t>
                      </w:r>
                      <w:r w:rsidRPr="00DD19CE">
                        <w:rPr>
                          <w:b/>
                          <w:sz w:val="20"/>
                          <w:szCs w:val="20"/>
                        </w:rPr>
                        <w:t>assessed</w:t>
                      </w:r>
                      <w:r w:rsidRPr="00DD19CE">
                        <w:rPr>
                          <w:sz w:val="20"/>
                          <w:szCs w:val="20"/>
                        </w:rPr>
                        <w:t xml:space="preserve"> and </w:t>
                      </w:r>
                      <w:r w:rsidRPr="00DD19CE">
                        <w:rPr>
                          <w:b/>
                          <w:sz w:val="20"/>
                          <w:szCs w:val="20"/>
                        </w:rPr>
                        <w:t>feedback</w:t>
                      </w:r>
                      <w:r w:rsidRPr="00DD19CE">
                        <w:rPr>
                          <w:sz w:val="20"/>
                          <w:szCs w:val="20"/>
                        </w:rPr>
                        <w:t xml:space="preserve"> provided in this scheme? </w:t>
                      </w:r>
                    </w:p>
                    <w:p w14:paraId="4B5AAE3D" w14:textId="21CD8C8D" w:rsidR="00A873CA" w:rsidRPr="00DD19CE" w:rsidRDefault="004F05F9" w:rsidP="00197B21">
                      <w:pPr>
                        <w:rPr>
                          <w:sz w:val="20"/>
                          <w:szCs w:val="20"/>
                        </w:rPr>
                      </w:pPr>
                      <w:r>
                        <w:rPr>
                          <w:sz w:val="20"/>
                          <w:szCs w:val="20"/>
                        </w:rPr>
                        <w:t>As with previous modules, p</w:t>
                      </w:r>
                      <w:r w:rsidR="00A873CA">
                        <w:rPr>
                          <w:sz w:val="20"/>
                          <w:szCs w:val="20"/>
                        </w:rPr>
                        <w:t xml:space="preserve">upils will have modular tests conducted at numerous occasions throughout the year, acting as the formal assessment for pupils. Students will have low stakes testes conducted throughout the year and will use metacognitive techniques and reflections, in order to assess their own learning and identify areas for their own personal improvement. </w:t>
                      </w:r>
                    </w:p>
                    <w:p w14:paraId="7B485ED8" w14:textId="77777777" w:rsidR="00197B21" w:rsidRPr="008C2D0B" w:rsidRDefault="00197B21" w:rsidP="00DD40BC"/>
                  </w:txbxContent>
                </v:textbox>
              </v:rect>
            </w:pict>
          </mc:Fallback>
        </mc:AlternateContent>
      </w:r>
    </w:p>
    <w:p w14:paraId="1E828DEE" w14:textId="77777777" w:rsidR="00D270C7" w:rsidRDefault="00D270C7" w:rsidP="00F97B8F"/>
    <w:p w14:paraId="118BB4D6" w14:textId="77777777" w:rsidR="00D270C7" w:rsidRDefault="00D270C7" w:rsidP="00F97B8F"/>
    <w:p w14:paraId="37A53342"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0793AF32"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7AC49AF" w14:textId="413A9F6C" w:rsidR="008C2D0B" w:rsidRPr="00D270C7" w:rsidRDefault="008C2D0B" w:rsidP="008C2D0B">
            <w:pPr>
              <w:tabs>
                <w:tab w:val="left" w:pos="2745"/>
              </w:tabs>
              <w:jc w:val="center"/>
              <w:rPr>
                <w:b/>
              </w:rPr>
            </w:pPr>
            <w:r>
              <w:rPr>
                <w:b/>
              </w:rPr>
              <w:t>Personal Development</w:t>
            </w:r>
          </w:p>
        </w:tc>
      </w:tr>
      <w:tr w:rsidR="008C2D0B" w14:paraId="4D1F4350" w14:textId="77777777" w:rsidTr="008C2D0B">
        <w:trPr>
          <w:trHeight w:val="1049"/>
        </w:trPr>
        <w:tc>
          <w:tcPr>
            <w:tcW w:w="2254" w:type="dxa"/>
            <w:tcBorders>
              <w:left w:val="single" w:sz="24" w:space="0" w:color="auto"/>
            </w:tcBorders>
            <w:vAlign w:val="center"/>
          </w:tcPr>
          <w:p w14:paraId="47B4C4DD" w14:textId="283469F2"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889" w:type="dxa"/>
            <w:tcBorders>
              <w:right w:val="single" w:sz="24" w:space="0" w:color="auto"/>
            </w:tcBorders>
            <w:vAlign w:val="center"/>
          </w:tcPr>
          <w:p w14:paraId="2C4397D5" w14:textId="47903205" w:rsidR="008C2D0B" w:rsidRPr="00DD19CE" w:rsidRDefault="00DD19CE" w:rsidP="008C2D0B">
            <w:pPr>
              <w:pStyle w:val="ListParagraph"/>
              <w:numPr>
                <w:ilvl w:val="0"/>
                <w:numId w:val="1"/>
              </w:numPr>
              <w:tabs>
                <w:tab w:val="left" w:pos="2745"/>
              </w:tabs>
              <w:rPr>
                <w:sz w:val="20"/>
                <w:szCs w:val="20"/>
              </w:rPr>
            </w:pPr>
            <w:r w:rsidRPr="00DD19CE">
              <w:rPr>
                <w:sz w:val="20"/>
                <w:szCs w:val="20"/>
              </w:rPr>
              <w:t>Pupils will have access to materials in the learning passport</w:t>
            </w:r>
            <w:r w:rsidR="00E0542C">
              <w:rPr>
                <w:sz w:val="20"/>
                <w:szCs w:val="20"/>
              </w:rPr>
              <w:t>.</w:t>
            </w:r>
          </w:p>
          <w:p w14:paraId="784A9F31" w14:textId="6E1E7E2E" w:rsidR="00DD19CE" w:rsidRPr="00DD19CE" w:rsidRDefault="00DD19CE" w:rsidP="008C2D0B">
            <w:pPr>
              <w:pStyle w:val="ListParagraph"/>
              <w:numPr>
                <w:ilvl w:val="0"/>
                <w:numId w:val="1"/>
              </w:numPr>
              <w:tabs>
                <w:tab w:val="left" w:pos="2745"/>
              </w:tabs>
              <w:rPr>
                <w:sz w:val="20"/>
                <w:szCs w:val="20"/>
              </w:rPr>
            </w:pPr>
            <w:r w:rsidRPr="00DD19CE">
              <w:rPr>
                <w:sz w:val="20"/>
                <w:szCs w:val="20"/>
              </w:rPr>
              <w:t>High starters will have extension booklets</w:t>
            </w:r>
            <w:r w:rsidR="00E0542C">
              <w:rPr>
                <w:sz w:val="20"/>
                <w:szCs w:val="20"/>
              </w:rPr>
              <w:t>.</w:t>
            </w:r>
          </w:p>
          <w:p w14:paraId="08E01CEB" w14:textId="6468BB83" w:rsidR="00DD19CE" w:rsidRPr="00DD19CE" w:rsidRDefault="00DD19CE" w:rsidP="008C2D0B">
            <w:pPr>
              <w:pStyle w:val="ListParagraph"/>
              <w:numPr>
                <w:ilvl w:val="0"/>
                <w:numId w:val="1"/>
              </w:numPr>
              <w:tabs>
                <w:tab w:val="left" w:pos="2745"/>
              </w:tabs>
              <w:rPr>
                <w:sz w:val="20"/>
                <w:szCs w:val="20"/>
              </w:rPr>
            </w:pPr>
            <w:r w:rsidRPr="00DD19CE">
              <w:rPr>
                <w:sz w:val="20"/>
                <w:szCs w:val="20"/>
              </w:rPr>
              <w:t xml:space="preserve">All will use online learning tool </w:t>
            </w:r>
            <w:proofErr w:type="spellStart"/>
            <w:r w:rsidRPr="00DD19CE">
              <w:rPr>
                <w:sz w:val="20"/>
                <w:szCs w:val="20"/>
              </w:rPr>
              <w:t>Memrise</w:t>
            </w:r>
            <w:proofErr w:type="spellEnd"/>
            <w:r w:rsidR="00E0542C">
              <w:rPr>
                <w:sz w:val="20"/>
                <w:szCs w:val="20"/>
              </w:rPr>
              <w:t>.</w:t>
            </w:r>
          </w:p>
          <w:p w14:paraId="4DFD2360" w14:textId="0971EDA2" w:rsidR="000F3D37" w:rsidRPr="00DD19CE" w:rsidRDefault="000A6705" w:rsidP="008C2D0B">
            <w:pPr>
              <w:pStyle w:val="ListParagraph"/>
              <w:numPr>
                <w:ilvl w:val="0"/>
                <w:numId w:val="1"/>
              </w:numPr>
              <w:tabs>
                <w:tab w:val="left" w:pos="2745"/>
              </w:tabs>
              <w:rPr>
                <w:sz w:val="20"/>
                <w:szCs w:val="20"/>
              </w:rPr>
            </w:pPr>
            <w:r>
              <w:rPr>
                <w:sz w:val="20"/>
                <w:szCs w:val="20"/>
              </w:rPr>
              <w:t>Research on Paris</w:t>
            </w:r>
          </w:p>
          <w:p w14:paraId="7CF138DC" w14:textId="2390FC9E" w:rsidR="00DD19CE" w:rsidRDefault="00DD19CE" w:rsidP="000F3D37">
            <w:pPr>
              <w:pStyle w:val="ListParagraph"/>
              <w:tabs>
                <w:tab w:val="left" w:pos="2745"/>
              </w:tabs>
            </w:pPr>
          </w:p>
        </w:tc>
      </w:tr>
      <w:tr w:rsidR="008C2D0B" w14:paraId="24C9398E" w14:textId="77777777" w:rsidTr="00DD19CE">
        <w:trPr>
          <w:trHeight w:val="761"/>
        </w:trPr>
        <w:tc>
          <w:tcPr>
            <w:tcW w:w="2254" w:type="dxa"/>
            <w:tcBorders>
              <w:left w:val="single" w:sz="24" w:space="0" w:color="auto"/>
            </w:tcBorders>
            <w:vAlign w:val="center"/>
          </w:tcPr>
          <w:p w14:paraId="43662369"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1B83CA43" w14:textId="77777777" w:rsidR="00E0542C" w:rsidRDefault="00E0542C" w:rsidP="00E0542C">
            <w:pPr>
              <w:pStyle w:val="ListParagraph"/>
              <w:numPr>
                <w:ilvl w:val="0"/>
                <w:numId w:val="1"/>
              </w:numPr>
              <w:tabs>
                <w:tab w:val="left" w:pos="2745"/>
              </w:tabs>
              <w:rPr>
                <w:sz w:val="20"/>
                <w:szCs w:val="20"/>
              </w:rPr>
            </w:pPr>
            <w:r>
              <w:rPr>
                <w:sz w:val="20"/>
                <w:szCs w:val="20"/>
              </w:rPr>
              <w:t>Developing the understanding of the French language</w:t>
            </w:r>
          </w:p>
          <w:p w14:paraId="40695AB2" w14:textId="29F3382B" w:rsidR="008C2D0B" w:rsidRPr="00DD19CE" w:rsidRDefault="00E0542C" w:rsidP="00E0542C">
            <w:pPr>
              <w:pStyle w:val="ListParagraph"/>
              <w:numPr>
                <w:ilvl w:val="0"/>
                <w:numId w:val="1"/>
              </w:numPr>
              <w:tabs>
                <w:tab w:val="left" w:pos="2745"/>
              </w:tabs>
              <w:rPr>
                <w:sz w:val="20"/>
                <w:szCs w:val="20"/>
              </w:rPr>
            </w:pPr>
            <w:r>
              <w:rPr>
                <w:sz w:val="20"/>
                <w:szCs w:val="20"/>
              </w:rPr>
              <w:t>How effective communication can be in a work environment.</w:t>
            </w:r>
          </w:p>
        </w:tc>
      </w:tr>
      <w:tr w:rsidR="008C2D0B" w14:paraId="0EBF80F6" w14:textId="77777777" w:rsidTr="00DD19CE">
        <w:trPr>
          <w:trHeight w:val="802"/>
        </w:trPr>
        <w:tc>
          <w:tcPr>
            <w:tcW w:w="2254" w:type="dxa"/>
            <w:tcBorders>
              <w:left w:val="single" w:sz="24" w:space="0" w:color="auto"/>
            </w:tcBorders>
            <w:vAlign w:val="center"/>
          </w:tcPr>
          <w:p w14:paraId="56B1BCB9"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7BA1F1A0" w14:textId="656E8F88" w:rsidR="008C2D0B" w:rsidRPr="00DD19CE" w:rsidRDefault="008C2D0B" w:rsidP="008C2D0B">
            <w:pPr>
              <w:pStyle w:val="ListParagraph"/>
              <w:numPr>
                <w:ilvl w:val="0"/>
                <w:numId w:val="1"/>
              </w:numPr>
              <w:tabs>
                <w:tab w:val="left" w:pos="2745"/>
              </w:tabs>
              <w:rPr>
                <w:sz w:val="20"/>
                <w:szCs w:val="20"/>
              </w:rPr>
            </w:pPr>
          </w:p>
        </w:tc>
      </w:tr>
      <w:tr w:rsidR="008C2D0B" w14:paraId="0016B2CB" w14:textId="77777777" w:rsidTr="008C2D0B">
        <w:trPr>
          <w:trHeight w:val="1277"/>
        </w:trPr>
        <w:tc>
          <w:tcPr>
            <w:tcW w:w="2254" w:type="dxa"/>
            <w:tcBorders>
              <w:left w:val="single" w:sz="24" w:space="0" w:color="auto"/>
              <w:bottom w:val="single" w:sz="24" w:space="0" w:color="auto"/>
            </w:tcBorders>
            <w:vAlign w:val="center"/>
          </w:tcPr>
          <w:p w14:paraId="63C31E54"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0CD7528A" w14:textId="0A435D6E" w:rsidR="008C2D0B" w:rsidRDefault="000F3D37" w:rsidP="008C2D0B">
            <w:pPr>
              <w:pStyle w:val="ListParagraph"/>
              <w:numPr>
                <w:ilvl w:val="0"/>
                <w:numId w:val="1"/>
              </w:numPr>
              <w:tabs>
                <w:tab w:val="left" w:pos="2745"/>
              </w:tabs>
              <w:rPr>
                <w:sz w:val="20"/>
                <w:szCs w:val="20"/>
              </w:rPr>
            </w:pPr>
            <w:r>
              <w:rPr>
                <w:sz w:val="20"/>
                <w:szCs w:val="20"/>
              </w:rPr>
              <w:t>Respe</w:t>
            </w:r>
            <w:r w:rsidR="00DD19CE" w:rsidRPr="00DD19CE">
              <w:rPr>
                <w:sz w:val="20"/>
                <w:szCs w:val="20"/>
              </w:rPr>
              <w:t>ct for other cultures</w:t>
            </w:r>
            <w:r>
              <w:rPr>
                <w:sz w:val="20"/>
                <w:szCs w:val="20"/>
              </w:rPr>
              <w:t>.</w:t>
            </w:r>
          </w:p>
          <w:p w14:paraId="263535E8" w14:textId="5D854B8A" w:rsidR="00DD19CE" w:rsidRDefault="00DD19CE" w:rsidP="008C2D0B">
            <w:pPr>
              <w:pStyle w:val="ListParagraph"/>
              <w:numPr>
                <w:ilvl w:val="0"/>
                <w:numId w:val="1"/>
              </w:numPr>
              <w:tabs>
                <w:tab w:val="left" w:pos="2745"/>
              </w:tabs>
              <w:rPr>
                <w:sz w:val="20"/>
                <w:szCs w:val="20"/>
              </w:rPr>
            </w:pPr>
            <w:r>
              <w:rPr>
                <w:sz w:val="20"/>
                <w:szCs w:val="20"/>
              </w:rPr>
              <w:t>Respect for pupils giving answers</w:t>
            </w:r>
            <w:r w:rsidR="000F3D37">
              <w:rPr>
                <w:sz w:val="20"/>
                <w:szCs w:val="20"/>
              </w:rPr>
              <w:t>.</w:t>
            </w:r>
          </w:p>
          <w:p w14:paraId="5DAFE5FE" w14:textId="77B880F6" w:rsidR="00D7322C" w:rsidRDefault="00D7322C" w:rsidP="008C2D0B">
            <w:pPr>
              <w:pStyle w:val="ListParagraph"/>
              <w:numPr>
                <w:ilvl w:val="0"/>
                <w:numId w:val="1"/>
              </w:numPr>
              <w:tabs>
                <w:tab w:val="left" w:pos="2745"/>
              </w:tabs>
              <w:rPr>
                <w:sz w:val="20"/>
                <w:szCs w:val="20"/>
              </w:rPr>
            </w:pPr>
            <w:r>
              <w:rPr>
                <w:sz w:val="20"/>
                <w:szCs w:val="20"/>
              </w:rPr>
              <w:t>Experiencing cultures in a respectful manner when abroad.</w:t>
            </w:r>
          </w:p>
          <w:p w14:paraId="4F6F68DC" w14:textId="381C0694" w:rsidR="000F3D37" w:rsidRPr="000F3D37" w:rsidRDefault="000F3D37" w:rsidP="000F3D37">
            <w:pPr>
              <w:tabs>
                <w:tab w:val="left" w:pos="2745"/>
              </w:tabs>
              <w:rPr>
                <w:sz w:val="20"/>
                <w:szCs w:val="20"/>
              </w:rPr>
            </w:pPr>
          </w:p>
        </w:tc>
      </w:tr>
    </w:tbl>
    <w:p w14:paraId="01D5B452" w14:textId="4D6220E0"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67FDF393" wp14:editId="26C0140B">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A7EB" w14:textId="77777777" w:rsidR="00D900DF" w:rsidRDefault="00D900DF" w:rsidP="00F97B8F">
      <w:pPr>
        <w:spacing w:after="0" w:line="240" w:lineRule="auto"/>
      </w:pPr>
      <w:r>
        <w:separator/>
      </w:r>
    </w:p>
  </w:endnote>
  <w:endnote w:type="continuationSeparator" w:id="0">
    <w:p w14:paraId="413907A7" w14:textId="77777777" w:rsidR="00D900DF" w:rsidRDefault="00D900DF"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AC30" w14:textId="77777777" w:rsidR="00D900DF" w:rsidRDefault="00D900DF" w:rsidP="00F97B8F">
      <w:pPr>
        <w:spacing w:after="0" w:line="240" w:lineRule="auto"/>
      </w:pPr>
      <w:r>
        <w:separator/>
      </w:r>
    </w:p>
  </w:footnote>
  <w:footnote w:type="continuationSeparator" w:id="0">
    <w:p w14:paraId="51DA13AB" w14:textId="77777777" w:rsidR="00D900DF" w:rsidRDefault="00D900DF"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05D8"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174"/>
    <w:multiLevelType w:val="hybridMultilevel"/>
    <w:tmpl w:val="CD40B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230AA"/>
    <w:multiLevelType w:val="hybridMultilevel"/>
    <w:tmpl w:val="3F480E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8F"/>
    <w:rsid w:val="000321DE"/>
    <w:rsid w:val="000A6705"/>
    <w:rsid w:val="000F3D37"/>
    <w:rsid w:val="00197B21"/>
    <w:rsid w:val="002667B3"/>
    <w:rsid w:val="00280839"/>
    <w:rsid w:val="004F05F9"/>
    <w:rsid w:val="0060127B"/>
    <w:rsid w:val="006512FB"/>
    <w:rsid w:val="006641E9"/>
    <w:rsid w:val="00680D49"/>
    <w:rsid w:val="007C212A"/>
    <w:rsid w:val="00844127"/>
    <w:rsid w:val="008B3F66"/>
    <w:rsid w:val="008C2D0B"/>
    <w:rsid w:val="009A1810"/>
    <w:rsid w:val="009B57A5"/>
    <w:rsid w:val="00A873CA"/>
    <w:rsid w:val="00AE2C15"/>
    <w:rsid w:val="00AF4E17"/>
    <w:rsid w:val="00B601D7"/>
    <w:rsid w:val="00BC0453"/>
    <w:rsid w:val="00C42433"/>
    <w:rsid w:val="00C444B0"/>
    <w:rsid w:val="00CF2E95"/>
    <w:rsid w:val="00D270C7"/>
    <w:rsid w:val="00D366E4"/>
    <w:rsid w:val="00D36E0E"/>
    <w:rsid w:val="00D5175F"/>
    <w:rsid w:val="00D63E6D"/>
    <w:rsid w:val="00D7322C"/>
    <w:rsid w:val="00D80FFE"/>
    <w:rsid w:val="00D900DF"/>
    <w:rsid w:val="00DD19CE"/>
    <w:rsid w:val="00DD40BC"/>
    <w:rsid w:val="00E0542C"/>
    <w:rsid w:val="00E060A4"/>
    <w:rsid w:val="00EA17D0"/>
    <w:rsid w:val="00EE1D9D"/>
    <w:rsid w:val="00F9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437"/>
  <w15:chartTrackingRefBased/>
  <w15:docId w15:val="{3C2E0754-04B0-4840-B5A7-0F38AFF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31F01-9198-4691-BC2E-B375CBE967C8}">
  <ds:schemaRefs>
    <ds:schemaRef ds:uri="http://schemas.microsoft.com/office/2006/metadata/properties"/>
    <ds:schemaRef ds:uri="http://schemas.microsoft.com/office/infopath/2007/PartnerControls"/>
    <ds:schemaRef ds:uri="6cb1ddbf-c95f-40ec-a33f-d75ac3f4b808"/>
  </ds:schemaRefs>
</ds:datastoreItem>
</file>

<file path=customXml/itemProps2.xml><?xml version="1.0" encoding="utf-8"?>
<ds:datastoreItem xmlns:ds="http://schemas.openxmlformats.org/officeDocument/2006/customXml" ds:itemID="{A27F2037-2F84-4786-AAB1-8AAD5394643E}"/>
</file>

<file path=customXml/itemProps3.xml><?xml version="1.0" encoding="utf-8"?>
<ds:datastoreItem xmlns:ds="http://schemas.openxmlformats.org/officeDocument/2006/customXml" ds:itemID="{93B53FA0-930D-4D75-8788-E5B3F63F7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Mr P Walker</cp:lastModifiedBy>
  <cp:revision>2</cp:revision>
  <cp:lastPrinted>2020-01-06T14:04:00Z</cp:lastPrinted>
  <dcterms:created xsi:type="dcterms:W3CDTF">2020-04-29T10:03:00Z</dcterms:created>
  <dcterms:modified xsi:type="dcterms:W3CDTF">2020-04-29T10:03:00Z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