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59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6051"/>
      </w:tblGrid>
      <w:tr w:rsidR="008C2D0B" w14:paraId="30E9AD50" w14:textId="77777777" w:rsidTr="79D360A1">
        <w:trPr>
          <w:trHeight w:val="281"/>
        </w:trPr>
        <w:tc>
          <w:tcPr>
            <w:tcW w:w="9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E27890D" w14:textId="77777777" w:rsidR="008C2D0B" w:rsidRPr="00BC0453" w:rsidRDefault="008C2D0B" w:rsidP="008C2D0B">
            <w:pPr>
              <w:jc w:val="center"/>
              <w:rPr>
                <w:sz w:val="32"/>
              </w:rPr>
            </w:pPr>
            <w:r w:rsidRPr="00BC0453">
              <w:rPr>
                <w:sz w:val="32"/>
              </w:rPr>
              <w:t>Year</w:t>
            </w:r>
          </w:p>
        </w:tc>
        <w:tc>
          <w:tcPr>
            <w:tcW w:w="605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DC16FC4" w14:textId="5A791C41" w:rsidR="008C2D0B" w:rsidRPr="00BC0453" w:rsidRDefault="008C2D0B" w:rsidP="008C2D0B">
            <w:pPr>
              <w:rPr>
                <w:b/>
                <w:sz w:val="32"/>
              </w:rPr>
            </w:pPr>
            <w:r w:rsidRPr="00BC0453">
              <w:rPr>
                <w:b/>
                <w:sz w:val="32"/>
              </w:rPr>
              <w:t xml:space="preserve">7 </w:t>
            </w:r>
          </w:p>
        </w:tc>
      </w:tr>
      <w:tr w:rsidR="008C2D0B" w14:paraId="57D813BC" w14:textId="77777777" w:rsidTr="79D360A1">
        <w:trPr>
          <w:trHeight w:val="281"/>
        </w:trPr>
        <w:tc>
          <w:tcPr>
            <w:tcW w:w="9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FAA9A53" w14:textId="77777777" w:rsidR="008C2D0B" w:rsidRPr="00BC0453" w:rsidRDefault="008C2D0B" w:rsidP="008C2D0B">
            <w:pPr>
              <w:jc w:val="center"/>
              <w:rPr>
                <w:sz w:val="32"/>
              </w:rPr>
            </w:pPr>
            <w:r w:rsidRPr="00BC0453">
              <w:rPr>
                <w:sz w:val="32"/>
              </w:rPr>
              <w:t>Topic</w:t>
            </w:r>
          </w:p>
        </w:tc>
        <w:tc>
          <w:tcPr>
            <w:tcW w:w="605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EEF27D7" w14:textId="76F2FB37" w:rsidR="008C2D0B" w:rsidRPr="00BC0453" w:rsidRDefault="00B603A4" w:rsidP="008C2D0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Equality and Equivalence</w:t>
            </w:r>
          </w:p>
        </w:tc>
      </w:tr>
      <w:tr w:rsidR="00197B21" w14:paraId="7A852CCD" w14:textId="77777777" w:rsidTr="79D360A1">
        <w:trPr>
          <w:trHeight w:val="544"/>
        </w:trPr>
        <w:tc>
          <w:tcPr>
            <w:tcW w:w="9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779E8B8" w14:textId="2B7A2145" w:rsidR="00197B21" w:rsidRPr="00DD40BC" w:rsidRDefault="00197B21" w:rsidP="00197B21">
            <w:pPr>
              <w:jc w:val="center"/>
              <w:rPr>
                <w:b/>
              </w:rPr>
            </w:pPr>
            <w:r w:rsidRPr="00DD40BC">
              <w:rPr>
                <w:b/>
              </w:rPr>
              <w:t>L</w:t>
            </w:r>
            <w:r w:rsidR="00216055">
              <w:rPr>
                <w:b/>
              </w:rPr>
              <w:t>O</w:t>
            </w:r>
            <w:r w:rsidRPr="00DD40BC">
              <w:rPr>
                <w:b/>
              </w:rPr>
              <w:t xml:space="preserve"> </w:t>
            </w:r>
          </w:p>
        </w:tc>
        <w:tc>
          <w:tcPr>
            <w:tcW w:w="605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4847D0A" w14:textId="77777777" w:rsidR="00197B21" w:rsidRDefault="00197B21" w:rsidP="00197B21">
            <w:pPr>
              <w:rPr>
                <w:b/>
              </w:rPr>
            </w:pPr>
            <w:r w:rsidRPr="00DD40BC">
              <w:rPr>
                <w:b/>
              </w:rPr>
              <w:t>Key aim/title/objective of the lesson?</w:t>
            </w:r>
            <w:r>
              <w:rPr>
                <w:b/>
              </w:rPr>
              <w:t xml:space="preserve"> </w:t>
            </w:r>
          </w:p>
          <w:p w14:paraId="3AE19104" w14:textId="39BD9AB0" w:rsidR="00197B21" w:rsidRPr="00DD40BC" w:rsidRDefault="00197B21" w:rsidP="00197B21">
            <w:pPr>
              <w:rPr>
                <w:b/>
              </w:rPr>
            </w:pPr>
            <w:r>
              <w:rPr>
                <w:b/>
              </w:rPr>
              <w:t xml:space="preserve">These may stretch over </w:t>
            </w:r>
            <w:proofErr w:type="gramStart"/>
            <w:r>
              <w:rPr>
                <w:b/>
              </w:rPr>
              <w:t>a number of</w:t>
            </w:r>
            <w:proofErr w:type="gramEnd"/>
            <w:r>
              <w:rPr>
                <w:b/>
              </w:rPr>
              <w:t xml:space="preserve"> lessons as appropriate</w:t>
            </w:r>
          </w:p>
        </w:tc>
      </w:tr>
      <w:tr w:rsidR="00197B21" w14:paraId="049DA6CD" w14:textId="77777777" w:rsidTr="79D360A1">
        <w:trPr>
          <w:trHeight w:val="393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6214B952" w14:textId="77777777" w:rsidR="00197B21" w:rsidRDefault="00197B21" w:rsidP="00197B21">
            <w:pPr>
              <w:jc w:val="center"/>
            </w:pPr>
            <w:r>
              <w:t>1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14:paraId="50165A93" w14:textId="5A6C02E7" w:rsidR="00197B21" w:rsidRDefault="79D360A1" w:rsidP="00197B21">
            <w:r>
              <w:t>Understand the meaning of equality</w:t>
            </w:r>
          </w:p>
        </w:tc>
      </w:tr>
      <w:tr w:rsidR="00197B21" w14:paraId="293150BC" w14:textId="77777777" w:rsidTr="79D360A1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2F14C171" w14:textId="77777777" w:rsidR="00197B21" w:rsidRDefault="00197B21" w:rsidP="00197B21">
            <w:pPr>
              <w:jc w:val="center"/>
            </w:pPr>
            <w:r>
              <w:t>2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14:paraId="4A4DE404" w14:textId="31AB3BAB" w:rsidR="00197B21" w:rsidRDefault="79D360A1" w:rsidP="00197B21">
            <w:r>
              <w:t>Understand and use fact families, numerical and algebraically</w:t>
            </w:r>
          </w:p>
        </w:tc>
      </w:tr>
      <w:tr w:rsidR="00197B21" w14:paraId="0A36B19E" w14:textId="77777777" w:rsidTr="79D360A1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63F3099F" w14:textId="77777777" w:rsidR="00197B21" w:rsidRDefault="00197B21" w:rsidP="00197B21">
            <w:pPr>
              <w:jc w:val="center"/>
            </w:pPr>
            <w:r>
              <w:t>3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14:paraId="7DC503FB" w14:textId="28FD1396" w:rsidR="00197B21" w:rsidRDefault="79D360A1" w:rsidP="00197B21">
            <w:r>
              <w:t>Solve one-step linear equations involving +/- using inverse operations</w:t>
            </w:r>
          </w:p>
        </w:tc>
      </w:tr>
      <w:tr w:rsidR="00197B21" w14:paraId="7A4A55F6" w14:textId="77777777" w:rsidTr="79D360A1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6F48B092" w14:textId="77777777" w:rsidR="00197B21" w:rsidRDefault="00197B21" w:rsidP="00197B21">
            <w:pPr>
              <w:jc w:val="center"/>
            </w:pPr>
            <w:r>
              <w:t>4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14:paraId="52AAB764" w14:textId="40B76A32" w:rsidR="00197B21" w:rsidRDefault="79D360A1" w:rsidP="79D360A1">
            <w:r>
              <w:t>Solve one-step linear equations involving x/</w:t>
            </w:r>
            <w:r w:rsidRPr="79D360A1">
              <w:rPr>
                <w:rFonts w:ascii="Calibri" w:eastAsia="Calibri" w:hAnsi="Calibri" w:cs="Calibri"/>
              </w:rPr>
              <w:t>÷ using inverse operations</w:t>
            </w:r>
          </w:p>
        </w:tc>
      </w:tr>
      <w:tr w:rsidR="00197B21" w14:paraId="0695362A" w14:textId="77777777" w:rsidTr="79D360A1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10D0A805" w14:textId="77777777" w:rsidR="00197B21" w:rsidRDefault="00197B21" w:rsidP="00197B21">
            <w:pPr>
              <w:jc w:val="center"/>
            </w:pPr>
            <w:r>
              <w:t>5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14:paraId="2FCA7FCA" w14:textId="0298BAFA" w:rsidR="00197B21" w:rsidRDefault="79D360A1" w:rsidP="00197B21">
            <w:r>
              <w:t>Understand the meaning of like and unlike terms</w:t>
            </w:r>
          </w:p>
        </w:tc>
      </w:tr>
      <w:tr w:rsidR="00197B21" w14:paraId="40D09E11" w14:textId="77777777" w:rsidTr="79D360A1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254B8B34" w14:textId="77777777" w:rsidR="00197B21" w:rsidRDefault="00197B21" w:rsidP="00197B21">
            <w:pPr>
              <w:jc w:val="center"/>
            </w:pPr>
            <w:r>
              <w:t>6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14:paraId="5E28083B" w14:textId="2D58CB09" w:rsidR="00197B21" w:rsidRDefault="79D360A1" w:rsidP="00197B21">
            <w:r>
              <w:t>Understanding the meaning of equivalence</w:t>
            </w:r>
          </w:p>
        </w:tc>
      </w:tr>
      <w:tr w:rsidR="00197B21" w14:paraId="01C4F6F3" w14:textId="77777777" w:rsidTr="79D360A1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1E4CDBD4" w14:textId="77777777" w:rsidR="00197B21" w:rsidRDefault="00197B21" w:rsidP="00197B21">
            <w:pPr>
              <w:jc w:val="center"/>
            </w:pPr>
            <w:r>
              <w:t>7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14:paraId="059A0BD7" w14:textId="2E6F187A" w:rsidR="00197B21" w:rsidRDefault="79D360A1" w:rsidP="79D360A1">
            <w:pPr>
              <w:rPr>
                <w:rFonts w:ascii="Calibri" w:eastAsia="Calibri" w:hAnsi="Calibri" w:cs="Calibri"/>
                <w:color w:val="0B0080"/>
                <w:sz w:val="21"/>
                <w:szCs w:val="21"/>
              </w:rPr>
            </w:pPr>
            <w:r>
              <w:t xml:space="preserve">Simplify algebraic expressions by collecting like terms, using the </w:t>
            </w:r>
            <w:r w:rsidRPr="79D360A1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≡ symbol</w:t>
            </w:r>
          </w:p>
        </w:tc>
      </w:tr>
      <w:tr w:rsidR="00197B21" w14:paraId="2B49010C" w14:textId="77777777" w:rsidTr="79D360A1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7C427275" w14:textId="77777777" w:rsidR="00197B21" w:rsidRDefault="00197B21" w:rsidP="00197B21">
            <w:pPr>
              <w:jc w:val="center"/>
            </w:pPr>
            <w:r>
              <w:t>8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14:paraId="1C2DFCD4" w14:textId="77777777" w:rsidR="00197B21" w:rsidRDefault="00197B21" w:rsidP="00197B21"/>
        </w:tc>
      </w:tr>
      <w:tr w:rsidR="00197B21" w14:paraId="3E4058BC" w14:textId="77777777" w:rsidTr="79D360A1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2AB9ED65" w14:textId="77777777" w:rsidR="00197B21" w:rsidRDefault="00197B21" w:rsidP="00197B21">
            <w:pPr>
              <w:jc w:val="center"/>
            </w:pPr>
            <w:r>
              <w:t>9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14:paraId="39D512D5" w14:textId="77777777" w:rsidR="00197B21" w:rsidRDefault="00197B21" w:rsidP="00197B21"/>
        </w:tc>
      </w:tr>
      <w:tr w:rsidR="00197B21" w14:paraId="59565172" w14:textId="77777777" w:rsidTr="79D360A1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4598F897" w14:textId="77777777" w:rsidR="00197B21" w:rsidRDefault="00197B21" w:rsidP="00197B21">
            <w:pPr>
              <w:jc w:val="center"/>
            </w:pPr>
            <w:r>
              <w:t>10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14:paraId="18859FF6" w14:textId="77777777" w:rsidR="00197B21" w:rsidRDefault="00197B21" w:rsidP="00197B21"/>
        </w:tc>
      </w:tr>
      <w:tr w:rsidR="00197B21" w14:paraId="57DB9854" w14:textId="77777777" w:rsidTr="79D360A1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5F7F5B47" w14:textId="77777777" w:rsidR="00197B21" w:rsidRDefault="00197B21" w:rsidP="00197B21">
            <w:pPr>
              <w:jc w:val="center"/>
            </w:pPr>
            <w:r>
              <w:t>11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14:paraId="33DD9CF8" w14:textId="77777777" w:rsidR="00197B21" w:rsidRDefault="00197B21" w:rsidP="00197B21"/>
        </w:tc>
      </w:tr>
      <w:tr w:rsidR="00197B21" w14:paraId="5600B365" w14:textId="77777777" w:rsidTr="79D360A1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1E6FBE3C" w14:textId="77777777" w:rsidR="00197B21" w:rsidRDefault="00197B21" w:rsidP="00197B21">
            <w:pPr>
              <w:jc w:val="center"/>
            </w:pPr>
            <w:r>
              <w:t>12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14:paraId="3FE1D6F8" w14:textId="77777777" w:rsidR="00197B21" w:rsidRDefault="00197B21" w:rsidP="00197B21"/>
        </w:tc>
      </w:tr>
      <w:tr w:rsidR="00197B21" w14:paraId="27DBF602" w14:textId="77777777" w:rsidTr="79D360A1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73EF1895" w14:textId="77777777" w:rsidR="00197B21" w:rsidRDefault="00197B21" w:rsidP="00197B21">
            <w:pPr>
              <w:jc w:val="center"/>
            </w:pPr>
            <w:r>
              <w:t>13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14:paraId="368F05BD" w14:textId="77777777" w:rsidR="00197B21" w:rsidRDefault="00197B21" w:rsidP="00197B21"/>
        </w:tc>
      </w:tr>
      <w:tr w:rsidR="00197B21" w14:paraId="2235DAD3" w14:textId="77777777" w:rsidTr="79D360A1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3C79761B" w14:textId="77777777" w:rsidR="00197B21" w:rsidRDefault="00197B21" w:rsidP="00197B21">
            <w:pPr>
              <w:jc w:val="center"/>
            </w:pPr>
            <w:r>
              <w:t>14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14:paraId="1AB4B94F" w14:textId="6363F608" w:rsidR="00197B21" w:rsidRDefault="00197B21" w:rsidP="00197B21"/>
        </w:tc>
      </w:tr>
      <w:tr w:rsidR="00197B21" w14:paraId="6DABBA4C" w14:textId="77777777" w:rsidTr="79D360A1">
        <w:trPr>
          <w:trHeight w:val="378"/>
        </w:trPr>
        <w:tc>
          <w:tcPr>
            <w:tcW w:w="9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718A34D" w14:textId="77777777" w:rsidR="00197B21" w:rsidRDefault="00197B21" w:rsidP="00197B21">
            <w:pPr>
              <w:jc w:val="center"/>
            </w:pPr>
            <w:r>
              <w:t>15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14:paraId="573D81DC" w14:textId="165A86A1" w:rsidR="00197B21" w:rsidRDefault="00197B21" w:rsidP="00197B21"/>
        </w:tc>
      </w:tr>
      <w:tr w:rsidR="00197B21" w14:paraId="45B13CB6" w14:textId="77777777" w:rsidTr="79D360A1">
        <w:trPr>
          <w:trHeight w:val="378"/>
        </w:trPr>
        <w:tc>
          <w:tcPr>
            <w:tcW w:w="9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016EC98" w14:textId="77777777" w:rsidR="00197B21" w:rsidRDefault="00197B21" w:rsidP="00197B21">
            <w:pPr>
              <w:jc w:val="center"/>
            </w:pPr>
            <w:r>
              <w:t>16</w:t>
            </w:r>
          </w:p>
        </w:tc>
        <w:tc>
          <w:tcPr>
            <w:tcW w:w="605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A7F6E24" w14:textId="5D6FD02D" w:rsidR="00197B21" w:rsidRDefault="00197B21" w:rsidP="00197B21"/>
        </w:tc>
      </w:tr>
      <w:tr w:rsidR="00197B21" w14:paraId="40F89D04" w14:textId="77777777" w:rsidTr="00D154B7">
        <w:trPr>
          <w:trHeight w:val="1570"/>
        </w:trPr>
        <w:tc>
          <w:tcPr>
            <w:tcW w:w="696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2B5936" w14:textId="2B7808B0" w:rsidR="00197B21" w:rsidRDefault="1553FE7B" w:rsidP="00197B21">
            <w:r>
              <w:t xml:space="preserve">Key vocabulary and/or key reading - Addressed in lessons through discussing definitions. </w:t>
            </w:r>
          </w:p>
          <w:p w14:paraId="52FE50D6" w14:textId="63947D77" w:rsidR="00216055" w:rsidRDefault="1553FE7B" w:rsidP="1553FE7B">
            <w:pPr>
              <w:spacing w:line="257" w:lineRule="auto"/>
            </w:pPr>
            <w:r>
              <w:t xml:space="preserve">Equality, Equation, Equals, </w:t>
            </w:r>
            <w:proofErr w:type="gramStart"/>
            <w:r>
              <w:t>Is</w:t>
            </w:r>
            <w:proofErr w:type="gramEnd"/>
            <w:r>
              <w:t xml:space="preserve"> equal to, Fact family, Bar Model, Solve, Solution, Unknown, Inverse, Term, Like, Unlike, Coefficient, Index, Expression, Equivalent, Simplify, Collect</w:t>
            </w:r>
          </w:p>
          <w:p w14:paraId="3FFC55D6" w14:textId="77777777" w:rsidR="00216055" w:rsidRDefault="00216055" w:rsidP="00197B21"/>
          <w:p w14:paraId="00F425DB" w14:textId="77777777" w:rsidR="00D63E6D" w:rsidRDefault="00D63E6D" w:rsidP="00197B21"/>
          <w:p w14:paraId="3B72DF98" w14:textId="24EBB10E" w:rsidR="00804479" w:rsidRDefault="00804479" w:rsidP="00197B21"/>
        </w:tc>
      </w:tr>
    </w:tbl>
    <w:p w14:paraId="1CAC7148" w14:textId="77777777" w:rsidR="00EA17D0" w:rsidRDefault="008C2D0B" w:rsidP="00F97B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36575" wp14:editId="2BCA4752">
                <wp:simplePos x="0" y="0"/>
                <wp:positionH relativeFrom="column">
                  <wp:posOffset>-532130</wp:posOffset>
                </wp:positionH>
                <wp:positionV relativeFrom="paragraph">
                  <wp:posOffset>-9525</wp:posOffset>
                </wp:positionV>
                <wp:extent cx="5238750" cy="24574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457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1DBA3" w14:textId="77777777" w:rsidR="00804479" w:rsidRPr="006F4187" w:rsidRDefault="00804479" w:rsidP="00804479">
                            <w:pPr>
                              <w:rPr>
                                <w:u w:val="single"/>
                              </w:rPr>
                            </w:pPr>
                            <w:r w:rsidRPr="006F4187">
                              <w:rPr>
                                <w:u w:val="single"/>
                              </w:rPr>
                              <w:t xml:space="preserve">How does this topic build on </w:t>
                            </w:r>
                            <w:r w:rsidRPr="006F4187">
                              <w:rPr>
                                <w:b/>
                                <w:i/>
                                <w:u w:val="single"/>
                              </w:rPr>
                              <w:t>prior</w:t>
                            </w:r>
                            <w:r w:rsidRPr="006F4187">
                              <w:rPr>
                                <w:u w:val="single"/>
                              </w:rPr>
                              <w:t xml:space="preserve"> learning?</w:t>
                            </w:r>
                          </w:p>
                          <w:p w14:paraId="6003C006" w14:textId="0875658B" w:rsidR="00804479" w:rsidRDefault="00804479" w:rsidP="00804479">
                            <w:r>
                              <w:t xml:space="preserve">80% of primaries using WRM scheme (as stated by WRM) so </w:t>
                            </w:r>
                            <w:proofErr w:type="gramStart"/>
                            <w:r>
                              <w:t>a large number of</w:t>
                            </w:r>
                            <w:proofErr w:type="gramEnd"/>
                            <w:r>
                              <w:t xml:space="preserve"> students will be familiar with fact families and using 30 = 14 + 16 alongside 14 + 16 = 30 etc.</w:t>
                            </w:r>
                          </w:p>
                          <w:p w14:paraId="0AEA8EC8" w14:textId="2C09A115" w:rsidR="00804479" w:rsidRPr="008C2D0B" w:rsidRDefault="00804479" w:rsidP="00804479">
                            <w:r>
                              <w:t>Algebraic notation during function machine work.</w:t>
                            </w:r>
                          </w:p>
                          <w:p w14:paraId="63745802" w14:textId="77777777" w:rsidR="00804479" w:rsidRDefault="00804479" w:rsidP="00804479">
                            <w:pPr>
                              <w:rPr>
                                <w:u w:val="single"/>
                              </w:rPr>
                            </w:pPr>
                            <w:r w:rsidRPr="006F4187">
                              <w:rPr>
                                <w:u w:val="single"/>
                              </w:rPr>
                              <w:t>How does the work during this topic prepare for future learning?</w:t>
                            </w:r>
                          </w:p>
                          <w:p w14:paraId="01613E44" w14:textId="2222CC70" w:rsidR="00804479" w:rsidRDefault="00804479" w:rsidP="00804479">
                            <w:r>
                              <w:t>Earlier steps/skills developed for solving more complex equations.</w:t>
                            </w:r>
                          </w:p>
                          <w:p w14:paraId="0A9E5BA5" w14:textId="77777777" w:rsidR="00804479" w:rsidRPr="006F4187" w:rsidRDefault="00804479" w:rsidP="00804479">
                            <w:pPr>
                              <w:rPr>
                                <w:u w:val="single"/>
                              </w:rPr>
                            </w:pPr>
                            <w:r w:rsidRPr="006F4187">
                              <w:rPr>
                                <w:u w:val="single"/>
                              </w:rPr>
                              <w:t xml:space="preserve">How will learning be </w:t>
                            </w:r>
                            <w:r w:rsidRPr="006F4187">
                              <w:rPr>
                                <w:b/>
                                <w:u w:val="single"/>
                              </w:rPr>
                              <w:t>assessed</w:t>
                            </w:r>
                            <w:r w:rsidRPr="006F4187">
                              <w:rPr>
                                <w:u w:val="single"/>
                              </w:rPr>
                              <w:t xml:space="preserve"> and </w:t>
                            </w:r>
                            <w:r w:rsidRPr="006F4187">
                              <w:rPr>
                                <w:b/>
                                <w:u w:val="single"/>
                              </w:rPr>
                              <w:t>feedback</w:t>
                            </w:r>
                            <w:r w:rsidRPr="006F4187">
                              <w:rPr>
                                <w:u w:val="single"/>
                              </w:rPr>
                              <w:t xml:space="preserve"> provided in this scheme?</w:t>
                            </w:r>
                          </w:p>
                          <w:p w14:paraId="782E9178" w14:textId="77777777" w:rsidR="00804479" w:rsidRDefault="00804479" w:rsidP="00804479">
                            <w:r>
                              <w:t xml:space="preserve">Homework task using WRM block assessment. Feedback given as whole class feedback and discussions and next steps issued in the form of an adjusted ‘assessment’. </w:t>
                            </w:r>
                          </w:p>
                          <w:p w14:paraId="7B485ED8" w14:textId="77777777" w:rsidR="00197B21" w:rsidRPr="008C2D0B" w:rsidRDefault="00197B21" w:rsidP="00DD4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36575" id="Rectangle 2" o:spid="_x0000_s1026" style="position:absolute;margin-left:-41.9pt;margin-top:-.75pt;width:412.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" filled="f" strokecolor="black [3213]" strokeweight="3pt">
                <v:textbox>
                  <w:txbxContent>
                    <w:p w14:paraId="3971DBA3" w14:textId="77777777" w:rsidR="00804479" w:rsidRPr="006F4187" w:rsidRDefault="00804479" w:rsidP="00804479">
                      <w:pPr>
                        <w:rPr>
                          <w:u w:val="single"/>
                        </w:rPr>
                      </w:pPr>
                      <w:r w:rsidRPr="006F4187">
                        <w:rPr>
                          <w:u w:val="single"/>
                        </w:rPr>
                        <w:t xml:space="preserve">How does this topic build on </w:t>
                      </w:r>
                      <w:r w:rsidRPr="006F4187">
                        <w:rPr>
                          <w:b/>
                          <w:i/>
                          <w:u w:val="single"/>
                        </w:rPr>
                        <w:t>prior</w:t>
                      </w:r>
                      <w:r w:rsidRPr="006F4187">
                        <w:rPr>
                          <w:u w:val="single"/>
                        </w:rPr>
                        <w:t xml:space="preserve"> learning?</w:t>
                      </w:r>
                    </w:p>
                    <w:p w14:paraId="6003C006" w14:textId="0875658B" w:rsidR="00804479" w:rsidRDefault="00804479" w:rsidP="00804479">
                      <w:r>
                        <w:t>80% of primaries using WRM scheme (as stated by WRM) so a large number of students will be familiar with fact families and using 30 = 14 + 16 alongside 14 + 16 = 30 etc.</w:t>
                      </w:r>
                    </w:p>
                    <w:p w14:paraId="0AEA8EC8" w14:textId="2C09A115" w:rsidR="00804479" w:rsidRPr="008C2D0B" w:rsidRDefault="00804479" w:rsidP="00804479">
                      <w:r>
                        <w:t>Algebraic notation during function machine work.</w:t>
                      </w:r>
                    </w:p>
                    <w:p w14:paraId="63745802" w14:textId="77777777" w:rsidR="00804479" w:rsidRDefault="00804479" w:rsidP="00804479">
                      <w:pPr>
                        <w:rPr>
                          <w:u w:val="single"/>
                        </w:rPr>
                      </w:pPr>
                      <w:r w:rsidRPr="006F4187">
                        <w:rPr>
                          <w:u w:val="single"/>
                        </w:rPr>
                        <w:t>How does the work during this topic prepare for future learning?</w:t>
                      </w:r>
                    </w:p>
                    <w:p w14:paraId="01613E44" w14:textId="2222CC70" w:rsidR="00804479" w:rsidRDefault="00804479" w:rsidP="00804479">
                      <w:r>
                        <w:t>Earlier steps/skills developed for solving more complex equations.</w:t>
                      </w:r>
                    </w:p>
                    <w:p w14:paraId="0A9E5BA5" w14:textId="77777777" w:rsidR="00804479" w:rsidRPr="006F4187" w:rsidRDefault="00804479" w:rsidP="00804479">
                      <w:pPr>
                        <w:rPr>
                          <w:u w:val="single"/>
                        </w:rPr>
                      </w:pPr>
                      <w:r w:rsidRPr="006F4187">
                        <w:rPr>
                          <w:u w:val="single"/>
                        </w:rPr>
                        <w:t xml:space="preserve">How will learning be </w:t>
                      </w:r>
                      <w:r w:rsidRPr="006F4187">
                        <w:rPr>
                          <w:b/>
                          <w:u w:val="single"/>
                        </w:rPr>
                        <w:t>assessed</w:t>
                      </w:r>
                      <w:r w:rsidRPr="006F4187">
                        <w:rPr>
                          <w:u w:val="single"/>
                        </w:rPr>
                        <w:t xml:space="preserve"> and </w:t>
                      </w:r>
                      <w:r w:rsidRPr="006F4187">
                        <w:rPr>
                          <w:b/>
                          <w:u w:val="single"/>
                        </w:rPr>
                        <w:t>feedback</w:t>
                      </w:r>
                      <w:r w:rsidRPr="006F4187">
                        <w:rPr>
                          <w:u w:val="single"/>
                        </w:rPr>
                        <w:t xml:space="preserve"> provided in this scheme?</w:t>
                      </w:r>
                    </w:p>
                    <w:p w14:paraId="782E9178" w14:textId="77777777" w:rsidR="00804479" w:rsidRDefault="00804479" w:rsidP="00804479">
                      <w:r>
                        <w:t xml:space="preserve">Homework task using WRM block assessment. Feedback given as whole class feedback and discussions and next steps issued in the form of an adjusted ‘assessment’. </w:t>
                      </w:r>
                    </w:p>
                    <w:p w14:paraId="7B485ED8" w14:textId="77777777" w:rsidR="00197B21" w:rsidRPr="008C2D0B" w:rsidRDefault="00197B21" w:rsidP="00DD40BC"/>
                  </w:txbxContent>
                </v:textbox>
              </v:rect>
            </w:pict>
          </mc:Fallback>
        </mc:AlternateContent>
      </w:r>
    </w:p>
    <w:p w14:paraId="1E828DEE" w14:textId="77777777" w:rsidR="00D270C7" w:rsidRDefault="00D270C7" w:rsidP="00F97B8F"/>
    <w:p w14:paraId="118BB4D6" w14:textId="77777777" w:rsidR="00D270C7" w:rsidRDefault="00D270C7" w:rsidP="00F97B8F"/>
    <w:p w14:paraId="37A53342" w14:textId="77777777" w:rsidR="00D270C7" w:rsidRDefault="00D270C7" w:rsidP="00F97B8F"/>
    <w:tbl>
      <w:tblPr>
        <w:tblStyle w:val="TableGrid"/>
        <w:tblpPr w:leftFromText="180" w:rightFromText="180" w:vertAnchor="text" w:horzAnchor="margin" w:tblpXSpec="right" w:tblpY="2387"/>
        <w:tblW w:w="8144" w:type="dxa"/>
        <w:tblLook w:val="04A0" w:firstRow="1" w:lastRow="0" w:firstColumn="1" w:lastColumn="0" w:noHBand="0" w:noVBand="1"/>
      </w:tblPr>
      <w:tblGrid>
        <w:gridCol w:w="2254"/>
        <w:gridCol w:w="5890"/>
      </w:tblGrid>
      <w:tr w:rsidR="00804479" w14:paraId="1121C756" w14:textId="77777777" w:rsidTr="00804479">
        <w:trPr>
          <w:trHeight w:val="470"/>
        </w:trPr>
        <w:tc>
          <w:tcPr>
            <w:tcW w:w="814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927A640" w14:textId="77777777" w:rsidR="00804479" w:rsidRPr="00D270C7" w:rsidRDefault="00804479" w:rsidP="00804479">
            <w:pPr>
              <w:tabs>
                <w:tab w:val="left" w:pos="2745"/>
              </w:tabs>
              <w:jc w:val="center"/>
              <w:rPr>
                <w:b/>
              </w:rPr>
            </w:pPr>
            <w:r>
              <w:rPr>
                <w:b/>
              </w:rPr>
              <w:t>Personal Development</w:t>
            </w:r>
          </w:p>
        </w:tc>
      </w:tr>
      <w:tr w:rsidR="00804479" w14:paraId="07DF655B" w14:textId="77777777" w:rsidTr="00804479">
        <w:trPr>
          <w:trHeight w:val="1049"/>
        </w:trPr>
        <w:tc>
          <w:tcPr>
            <w:tcW w:w="2254" w:type="dxa"/>
            <w:tcBorders>
              <w:left w:val="single" w:sz="24" w:space="0" w:color="auto"/>
            </w:tcBorders>
            <w:vAlign w:val="center"/>
          </w:tcPr>
          <w:p w14:paraId="57E8D8CD" w14:textId="77777777" w:rsidR="00804479" w:rsidRDefault="00804479" w:rsidP="00804479">
            <w:pPr>
              <w:tabs>
                <w:tab w:val="left" w:pos="2745"/>
              </w:tabs>
            </w:pPr>
            <w:r w:rsidRPr="008C2D0B">
              <w:t>How is this topic developed beyond the classroom?</w:t>
            </w:r>
            <w:r>
              <w:t xml:space="preserve"> E.g. </w:t>
            </w:r>
            <w:r w:rsidRPr="00197B21">
              <w:rPr>
                <w:b/>
              </w:rPr>
              <w:t>learning passport?</w:t>
            </w:r>
          </w:p>
        </w:tc>
        <w:tc>
          <w:tcPr>
            <w:tcW w:w="5890" w:type="dxa"/>
            <w:tcBorders>
              <w:right w:val="single" w:sz="24" w:space="0" w:color="auto"/>
            </w:tcBorders>
            <w:vAlign w:val="center"/>
          </w:tcPr>
          <w:p w14:paraId="1AD210E8" w14:textId="614F3862" w:rsidR="00804479" w:rsidRDefault="00D154B7" w:rsidP="00804479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</w:pPr>
            <w:r>
              <w:t>Homework</w:t>
            </w:r>
          </w:p>
        </w:tc>
      </w:tr>
      <w:tr w:rsidR="00804479" w14:paraId="413EF27B" w14:textId="77777777" w:rsidTr="00804479">
        <w:trPr>
          <w:trHeight w:val="1113"/>
        </w:trPr>
        <w:tc>
          <w:tcPr>
            <w:tcW w:w="2254" w:type="dxa"/>
            <w:tcBorders>
              <w:left w:val="single" w:sz="24" w:space="0" w:color="auto"/>
            </w:tcBorders>
            <w:vAlign w:val="center"/>
          </w:tcPr>
          <w:p w14:paraId="20401C11" w14:textId="77777777" w:rsidR="00804479" w:rsidRDefault="00804479" w:rsidP="00804479">
            <w:pPr>
              <w:tabs>
                <w:tab w:val="left" w:pos="2745"/>
              </w:tabs>
            </w:pPr>
            <w:r>
              <w:t xml:space="preserve">How are </w:t>
            </w:r>
            <w:r w:rsidRPr="00D270C7">
              <w:rPr>
                <w:b/>
              </w:rPr>
              <w:t>Careers/ IAG</w:t>
            </w:r>
            <w:r>
              <w:t xml:space="preserve"> links built into this lesson sequence?</w:t>
            </w:r>
          </w:p>
        </w:tc>
        <w:tc>
          <w:tcPr>
            <w:tcW w:w="5890" w:type="dxa"/>
            <w:tcBorders>
              <w:right w:val="single" w:sz="24" w:space="0" w:color="auto"/>
            </w:tcBorders>
            <w:vAlign w:val="center"/>
          </w:tcPr>
          <w:p w14:paraId="7DB0DD47" w14:textId="4295FF67" w:rsidR="000E7D65" w:rsidRPr="000E7D65" w:rsidRDefault="000E7D65" w:rsidP="000E7D65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rPr>
                <w:rFonts w:cstheme="minorHAnsi"/>
                <w:sz w:val="18"/>
                <w:szCs w:val="18"/>
              </w:rPr>
            </w:pPr>
            <w:r w:rsidRPr="000E7D65">
              <w:rPr>
                <w:rFonts w:cstheme="minorHAnsi"/>
                <w:sz w:val="18"/>
                <w:szCs w:val="18"/>
              </w:rPr>
              <w:t xml:space="preserve">Teachers to refer to </w:t>
            </w:r>
            <w:proofErr w:type="spellStart"/>
            <w:r w:rsidRPr="000E7D65">
              <w:rPr>
                <w:rFonts w:cstheme="minorHAnsi"/>
                <w:sz w:val="18"/>
                <w:szCs w:val="18"/>
              </w:rPr>
              <w:t>x^n</w:t>
            </w:r>
            <w:proofErr w:type="spellEnd"/>
            <w:r w:rsidRPr="000E7D65">
              <w:rPr>
                <w:rFonts w:cstheme="minorHAnsi"/>
                <w:sz w:val="18"/>
                <w:szCs w:val="18"/>
              </w:rPr>
              <w:t xml:space="preserve"> maths (if necessary) to find relevant careers that you this skill.</w:t>
            </w:r>
          </w:p>
          <w:p w14:paraId="6E32A686" w14:textId="77777777" w:rsidR="00804479" w:rsidRPr="000E7D65" w:rsidRDefault="00804479" w:rsidP="00804479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rPr>
                <w:sz w:val="18"/>
                <w:szCs w:val="18"/>
              </w:rPr>
            </w:pPr>
            <w:r w:rsidRPr="000E7D65">
              <w:rPr>
                <w:rFonts w:cstheme="minorHAnsi"/>
                <w:b/>
                <w:sz w:val="18"/>
                <w:szCs w:val="18"/>
              </w:rPr>
              <w:t>Example: an events manager uses equality and equivalence</w:t>
            </w:r>
            <w:r w:rsidRPr="000E7D65">
              <w:rPr>
                <w:rFonts w:cstheme="minorHAnsi"/>
                <w:sz w:val="18"/>
                <w:szCs w:val="18"/>
              </w:rPr>
              <w:t xml:space="preserve">. </w:t>
            </w:r>
            <w:r w:rsidRPr="000E7D65">
              <w:rPr>
                <w:rFonts w:cstheme="minorHAnsi"/>
                <w:color w:val="000000"/>
                <w:spacing w:val="3"/>
                <w:sz w:val="18"/>
                <w:szCs w:val="18"/>
                <w:shd w:val="clear" w:color="auto" w:fill="FCFCFC"/>
              </w:rPr>
              <w:t xml:space="preserve">They need to calculate how much it will cost their client to rent a space </w:t>
            </w:r>
            <w:proofErr w:type="gramStart"/>
            <w:r w:rsidRPr="000E7D65">
              <w:rPr>
                <w:rFonts w:cstheme="minorHAnsi"/>
                <w:color w:val="000000"/>
                <w:spacing w:val="3"/>
                <w:sz w:val="18"/>
                <w:szCs w:val="18"/>
                <w:shd w:val="clear" w:color="auto" w:fill="FCFCFC"/>
              </w:rPr>
              <w:t>and also</w:t>
            </w:r>
            <w:proofErr w:type="gramEnd"/>
            <w:r w:rsidRPr="000E7D65">
              <w:rPr>
                <w:rFonts w:cstheme="minorHAnsi"/>
                <w:color w:val="000000"/>
                <w:spacing w:val="3"/>
                <w:sz w:val="18"/>
                <w:szCs w:val="18"/>
                <w:shd w:val="clear" w:color="auto" w:fill="FCFCFC"/>
              </w:rPr>
              <w:t xml:space="preserve"> per person for meals. A linear equation can be constructed to show the total cost, expressed as y, for any number of people in attendance, or x</w:t>
            </w:r>
            <w:r w:rsidRPr="000E7D65">
              <w:rPr>
                <w:rFonts w:ascii="Arial" w:hAnsi="Arial" w:cs="Arial"/>
                <w:color w:val="000000"/>
                <w:spacing w:val="3"/>
                <w:shd w:val="clear" w:color="auto" w:fill="FCFCFC"/>
              </w:rPr>
              <w:t>.</w:t>
            </w:r>
          </w:p>
          <w:p w14:paraId="56818101" w14:textId="282B594B" w:rsidR="000E7D65" w:rsidRDefault="000E7D65" w:rsidP="00804479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</w:pPr>
            <w:r w:rsidRPr="000E7D65">
              <w:rPr>
                <w:rFonts w:cstheme="minorHAnsi"/>
                <w:bCs/>
                <w:sz w:val="18"/>
                <w:szCs w:val="18"/>
              </w:rPr>
              <w:t>Teachers can then expand on this using their own experiences and interests</w:t>
            </w:r>
          </w:p>
        </w:tc>
      </w:tr>
      <w:tr w:rsidR="00804479" w14:paraId="23BD2734" w14:textId="77777777" w:rsidTr="00804479">
        <w:trPr>
          <w:trHeight w:val="953"/>
        </w:trPr>
        <w:tc>
          <w:tcPr>
            <w:tcW w:w="2254" w:type="dxa"/>
            <w:tcBorders>
              <w:left w:val="single" w:sz="24" w:space="0" w:color="auto"/>
            </w:tcBorders>
            <w:vAlign w:val="center"/>
          </w:tcPr>
          <w:p w14:paraId="26E940D6" w14:textId="7443FB01" w:rsidR="00804479" w:rsidRPr="00D270C7" w:rsidRDefault="00804479" w:rsidP="00804479">
            <w:pPr>
              <w:tabs>
                <w:tab w:val="left" w:pos="2745"/>
              </w:tabs>
              <w:rPr>
                <w:b/>
              </w:rPr>
            </w:pPr>
            <w:r w:rsidRPr="00D270C7">
              <w:rPr>
                <w:b/>
              </w:rPr>
              <w:t>Relationship</w:t>
            </w:r>
            <w:r>
              <w:rPr>
                <w:b/>
              </w:rPr>
              <w:t>,</w:t>
            </w:r>
            <w:r w:rsidRPr="00D270C7">
              <w:rPr>
                <w:b/>
              </w:rPr>
              <w:t xml:space="preserve"> Sex and Health Education.</w:t>
            </w:r>
          </w:p>
        </w:tc>
        <w:tc>
          <w:tcPr>
            <w:tcW w:w="5890" w:type="dxa"/>
            <w:tcBorders>
              <w:right w:val="single" w:sz="24" w:space="0" w:color="auto"/>
            </w:tcBorders>
            <w:vAlign w:val="center"/>
          </w:tcPr>
          <w:p w14:paraId="5D6917A6" w14:textId="21A9A883" w:rsidR="00804479" w:rsidRDefault="00804479" w:rsidP="00804479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</w:pPr>
            <w:r>
              <w:t>Financial Health - ensures examples and content have financial aspect to them - e.g. solve equations to calculate costs (e.g. taxi fares, mobile phone contracts)</w:t>
            </w:r>
          </w:p>
        </w:tc>
      </w:tr>
      <w:tr w:rsidR="00804479" w14:paraId="05BA0E32" w14:textId="77777777" w:rsidTr="00804479">
        <w:trPr>
          <w:trHeight w:val="1277"/>
        </w:trPr>
        <w:tc>
          <w:tcPr>
            <w:tcW w:w="225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A95BEF3" w14:textId="77777777" w:rsidR="00804479" w:rsidRDefault="00804479" w:rsidP="00804479">
            <w:pPr>
              <w:tabs>
                <w:tab w:val="left" w:pos="2745"/>
              </w:tabs>
            </w:pPr>
            <w:r w:rsidRPr="00D270C7">
              <w:rPr>
                <w:b/>
              </w:rPr>
              <w:t>Fundamental British Values</w:t>
            </w:r>
            <w:r>
              <w:t xml:space="preserve"> (d</w:t>
            </w:r>
            <w:r w:rsidRPr="00D270C7">
              <w:t>emocracy, the rule of law, individual liberty and respect and tolerance</w:t>
            </w:r>
            <w:r>
              <w:t>)</w:t>
            </w:r>
          </w:p>
        </w:tc>
        <w:tc>
          <w:tcPr>
            <w:tcW w:w="589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DCB2793" w14:textId="036435C3" w:rsidR="00804479" w:rsidRPr="00D154B7" w:rsidRDefault="00D154B7" w:rsidP="00D154B7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rPr>
                <w:sz w:val="16"/>
                <w:szCs w:val="16"/>
              </w:rPr>
            </w:pPr>
            <w:r w:rsidRPr="00472803">
              <w:rPr>
                <w:sz w:val="16"/>
                <w:szCs w:val="16"/>
              </w:rPr>
              <w:t>Behaviour in class. Effective learning takes place in a class</w:t>
            </w:r>
            <w:r>
              <w:rPr>
                <w:sz w:val="16"/>
                <w:szCs w:val="16"/>
              </w:rPr>
              <w:t xml:space="preserve"> </w:t>
            </w:r>
            <w:r w:rsidRPr="00472803">
              <w:rPr>
                <w:sz w:val="16"/>
                <w:szCs w:val="16"/>
              </w:rPr>
              <w:t>where there is tolerance and mutual respect</w:t>
            </w:r>
            <w:r>
              <w:rPr>
                <w:sz w:val="16"/>
                <w:szCs w:val="16"/>
              </w:rPr>
              <w:t>,</w:t>
            </w:r>
            <w:r w:rsidRPr="00472803">
              <w:rPr>
                <w:sz w:val="16"/>
                <w:szCs w:val="16"/>
              </w:rPr>
              <w:t xml:space="preserve"> as set out in the Equality Act and where those with the protected characteristics receive fair treatment, so that all are treated equally. </w:t>
            </w:r>
            <w:r w:rsidRPr="00560A40">
              <w:rPr>
                <w:b/>
                <w:bCs/>
                <w:sz w:val="16"/>
                <w:szCs w:val="16"/>
              </w:rPr>
              <w:t>All students to behave with tolerance and mutual respect of others - referred to specifically at this point of the school year through the community theme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01D5B452" w14:textId="4D6220E0" w:rsidR="00BC0453" w:rsidRPr="00F97B8F" w:rsidRDefault="00197B21" w:rsidP="00DD40BC">
      <w:pPr>
        <w:tabs>
          <w:tab w:val="left" w:pos="2745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7FDF393" wp14:editId="26C0140B">
            <wp:simplePos x="0" y="0"/>
            <wp:positionH relativeFrom="column">
              <wp:posOffset>-1449203</wp:posOffset>
            </wp:positionH>
            <wp:positionV relativeFrom="paragraph">
              <wp:posOffset>1387342</wp:posOffset>
            </wp:positionV>
            <wp:extent cx="1583690" cy="1583690"/>
            <wp:effectExtent l="0" t="0" r="0" b="0"/>
            <wp:wrapNone/>
            <wp:docPr id="4" name="Picture 4" descr="Image result for cottingham hi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ttingham hig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  <a14:imgEffect>
                                <a14:colorTemperature colorTemp="8416"/>
                              </a14:imgEffect>
                              <a14:imgEffect>
                                <a14:saturation sat="134000"/>
                              </a14:imgEffect>
                              <a14:imgEffect>
                                <a14:brightnessContrast bright="3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453" w:rsidRPr="00F97B8F" w:rsidSect="00DD40BC">
      <w:headerReference w:type="default" r:id="rId12"/>
      <w:pgSz w:w="16838" w:h="11906" w:orient="landscape"/>
      <w:pgMar w:top="720" w:right="720" w:bottom="720" w:left="720" w:header="22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1A43A" w14:textId="77777777" w:rsidR="0037213B" w:rsidRDefault="0037213B" w:rsidP="00F97B8F">
      <w:pPr>
        <w:spacing w:after="0" w:line="240" w:lineRule="auto"/>
      </w:pPr>
      <w:r>
        <w:separator/>
      </w:r>
    </w:p>
  </w:endnote>
  <w:endnote w:type="continuationSeparator" w:id="0">
    <w:p w14:paraId="34CF92BE" w14:textId="77777777" w:rsidR="0037213B" w:rsidRDefault="0037213B" w:rsidP="00F9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15528" w14:textId="77777777" w:rsidR="0037213B" w:rsidRDefault="0037213B" w:rsidP="00F97B8F">
      <w:pPr>
        <w:spacing w:after="0" w:line="240" w:lineRule="auto"/>
      </w:pPr>
      <w:r>
        <w:separator/>
      </w:r>
    </w:p>
  </w:footnote>
  <w:footnote w:type="continuationSeparator" w:id="0">
    <w:p w14:paraId="6E148989" w14:textId="77777777" w:rsidR="0037213B" w:rsidRDefault="0037213B" w:rsidP="00F9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05D8" w14:textId="77777777" w:rsidR="00F97B8F" w:rsidRPr="00D270C7" w:rsidRDefault="00F97B8F" w:rsidP="00D270C7">
    <w:pPr>
      <w:pStyle w:val="Header"/>
      <w:tabs>
        <w:tab w:val="left" w:pos="4962"/>
      </w:tabs>
      <w:rPr>
        <w:b/>
      </w:rPr>
    </w:pPr>
    <w:r w:rsidRPr="00D270C7">
      <w:rPr>
        <w:b/>
      </w:rPr>
      <w:t>C</w:t>
    </w:r>
    <w:r w:rsidR="00D270C7" w:rsidRPr="00D270C7">
      <w:rPr>
        <w:b/>
      </w:rPr>
      <w:t xml:space="preserve">ottingham High School </w:t>
    </w:r>
    <w:r w:rsidRPr="00D270C7">
      <w:rPr>
        <w:b/>
      </w:rPr>
      <w:t>KS3 Curriculum – Med</w:t>
    </w:r>
    <w:r w:rsidR="008C2D0B">
      <w:rPr>
        <w:b/>
      </w:rPr>
      <w:t>ium</w:t>
    </w:r>
    <w:r w:rsidRPr="00D270C7">
      <w:rPr>
        <w:b/>
      </w:rPr>
      <w:t xml:space="preserve"> Term Plan Framework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B7C9C"/>
    <w:multiLevelType w:val="hybridMultilevel"/>
    <w:tmpl w:val="6F52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343A"/>
    <w:multiLevelType w:val="hybridMultilevel"/>
    <w:tmpl w:val="92AA2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491B"/>
    <w:multiLevelType w:val="hybridMultilevel"/>
    <w:tmpl w:val="B1F6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B8F"/>
    <w:rsid w:val="000361B0"/>
    <w:rsid w:val="000E7D65"/>
    <w:rsid w:val="00197B21"/>
    <w:rsid w:val="00216055"/>
    <w:rsid w:val="002667B3"/>
    <w:rsid w:val="00280839"/>
    <w:rsid w:val="0037213B"/>
    <w:rsid w:val="005B667F"/>
    <w:rsid w:val="0060127B"/>
    <w:rsid w:val="006512FB"/>
    <w:rsid w:val="006641E9"/>
    <w:rsid w:val="007C212A"/>
    <w:rsid w:val="00804479"/>
    <w:rsid w:val="00844127"/>
    <w:rsid w:val="008834D3"/>
    <w:rsid w:val="008C2D0B"/>
    <w:rsid w:val="00A303D6"/>
    <w:rsid w:val="00AE58F5"/>
    <w:rsid w:val="00AF4E17"/>
    <w:rsid w:val="00B23D8A"/>
    <w:rsid w:val="00B603A4"/>
    <w:rsid w:val="00BC0453"/>
    <w:rsid w:val="00C42433"/>
    <w:rsid w:val="00C444B0"/>
    <w:rsid w:val="00D154B7"/>
    <w:rsid w:val="00D270C7"/>
    <w:rsid w:val="00D63E6D"/>
    <w:rsid w:val="00D80FFE"/>
    <w:rsid w:val="00DB36AB"/>
    <w:rsid w:val="00DD40BC"/>
    <w:rsid w:val="00EA17D0"/>
    <w:rsid w:val="00F97B8F"/>
    <w:rsid w:val="1553FE7B"/>
    <w:rsid w:val="79D3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F0437"/>
  <w15:chartTrackingRefBased/>
  <w15:docId w15:val="{3C2E0754-04B0-4840-B5A7-0F38AFF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8F"/>
  </w:style>
  <w:style w:type="paragraph" w:styleId="Footer">
    <w:name w:val="footer"/>
    <w:basedOn w:val="Normal"/>
    <w:link w:val="FooterChar"/>
    <w:uiPriority w:val="99"/>
    <w:unhideWhenUsed/>
    <w:rsid w:val="00F9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8F"/>
  </w:style>
  <w:style w:type="table" w:styleId="TableGrid">
    <w:name w:val="Table Grid"/>
    <w:basedOn w:val="TableNormal"/>
    <w:uiPriority w:val="39"/>
    <w:rsid w:val="00F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AAFAF72E5CB48BB93474378192294" ma:contentTypeVersion="8" ma:contentTypeDescription="Create a new document." ma:contentTypeScope="" ma:versionID="834a8c9827e5cca5db2eed4d0073a48d">
  <xsd:schema xmlns:xsd="http://www.w3.org/2001/XMLSchema" xmlns:xs="http://www.w3.org/2001/XMLSchema" xmlns:p="http://schemas.microsoft.com/office/2006/metadata/properties" xmlns:ns2="a6e6704f-5820-409f-bc19-ee9a486afea1" targetNamespace="http://schemas.microsoft.com/office/2006/metadata/properties" ma:root="true" ma:fieldsID="6dbe65c4d98d5bf4ee1c21189d7b198c" ns2:_="">
    <xsd:import namespace="a6e6704f-5820-409f-bc19-ee9a486af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704f-5820-409f-bc19-ee9a486af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31F01-9198-4691-BC2E-B375CBE96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A92D15-D086-4E12-B022-18F809FB1DEB}"/>
</file>

<file path=customXml/itemProps3.xml><?xml version="1.0" encoding="utf-8"?>
<ds:datastoreItem xmlns:ds="http://schemas.openxmlformats.org/officeDocument/2006/customXml" ds:itemID="{93B53FA0-930D-4D75-8788-E5B3F63F7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Wardle</dc:creator>
  <cp:keywords/>
  <dc:description/>
  <cp:lastModifiedBy>Declan</cp:lastModifiedBy>
  <cp:revision>3</cp:revision>
  <cp:lastPrinted>2019-12-11T12:03:00Z</cp:lastPrinted>
  <dcterms:created xsi:type="dcterms:W3CDTF">2020-09-05T21:18:00Z</dcterms:created>
  <dcterms:modified xsi:type="dcterms:W3CDTF">2020-11-10T08:12:00Z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0x010100B13AAFAF72E5CB48BB93474378192294</vt:lpwstr>
  </property>
</Properties>
</file>