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
        <w:tblOverlap w:val="never"/>
        <w:tblW w:w="0" w:type="auto"/>
        <w:tblLook w:val="04A0" w:firstRow="1" w:lastRow="0" w:firstColumn="1" w:lastColumn="0" w:noHBand="0" w:noVBand="1"/>
      </w:tblPr>
      <w:tblGrid>
        <w:gridCol w:w="918"/>
        <w:gridCol w:w="6051"/>
      </w:tblGrid>
      <w:tr w:rsidR="008C2D0B" w14:paraId="30E9AD50" w14:textId="77777777" w:rsidTr="008C2D0B">
        <w:trPr>
          <w:trHeight w:val="281"/>
        </w:trPr>
        <w:tc>
          <w:tcPr>
            <w:tcW w:w="918" w:type="dxa"/>
            <w:tcBorders>
              <w:top w:val="single" w:sz="24" w:space="0" w:color="auto"/>
              <w:left w:val="single" w:sz="24" w:space="0" w:color="auto"/>
            </w:tcBorders>
            <w:vAlign w:val="center"/>
          </w:tcPr>
          <w:p w14:paraId="1E27890D" w14:textId="77777777" w:rsidR="008C2D0B" w:rsidRPr="00BC0453" w:rsidRDefault="008C2D0B" w:rsidP="008C2D0B">
            <w:pPr>
              <w:jc w:val="center"/>
              <w:rPr>
                <w:sz w:val="32"/>
              </w:rPr>
            </w:pPr>
            <w:bookmarkStart w:id="0" w:name="_GoBack"/>
            <w:bookmarkEnd w:id="0"/>
            <w:r w:rsidRPr="00BC0453">
              <w:rPr>
                <w:sz w:val="32"/>
              </w:rPr>
              <w:t>Year</w:t>
            </w:r>
          </w:p>
        </w:tc>
        <w:tc>
          <w:tcPr>
            <w:tcW w:w="6051" w:type="dxa"/>
            <w:tcBorders>
              <w:top w:val="single" w:sz="24" w:space="0" w:color="auto"/>
              <w:right w:val="single" w:sz="24" w:space="0" w:color="auto"/>
            </w:tcBorders>
            <w:vAlign w:val="center"/>
          </w:tcPr>
          <w:p w14:paraId="6DC16FC4" w14:textId="083E3341" w:rsidR="008C2D0B" w:rsidRPr="00BC0453" w:rsidRDefault="00661C54" w:rsidP="008C2D0B">
            <w:pPr>
              <w:rPr>
                <w:b/>
                <w:sz w:val="32"/>
              </w:rPr>
            </w:pPr>
            <w:r>
              <w:rPr>
                <w:b/>
                <w:sz w:val="32"/>
              </w:rPr>
              <w:t>9</w:t>
            </w:r>
          </w:p>
        </w:tc>
      </w:tr>
      <w:tr w:rsidR="008C2D0B" w14:paraId="57D813BC" w14:textId="77777777" w:rsidTr="008C2D0B">
        <w:trPr>
          <w:trHeight w:val="281"/>
        </w:trPr>
        <w:tc>
          <w:tcPr>
            <w:tcW w:w="918" w:type="dxa"/>
            <w:tcBorders>
              <w:left w:val="single" w:sz="24" w:space="0" w:color="auto"/>
              <w:bottom w:val="single" w:sz="24" w:space="0" w:color="auto"/>
            </w:tcBorders>
            <w:vAlign w:val="center"/>
          </w:tcPr>
          <w:p w14:paraId="0FAA9A53" w14:textId="77777777" w:rsidR="008C2D0B" w:rsidRPr="00BC0453" w:rsidRDefault="008C2D0B" w:rsidP="008C2D0B">
            <w:pPr>
              <w:jc w:val="center"/>
              <w:rPr>
                <w:sz w:val="32"/>
              </w:rPr>
            </w:pPr>
            <w:r w:rsidRPr="00BC0453">
              <w:rPr>
                <w:sz w:val="32"/>
              </w:rPr>
              <w:t>Topic</w:t>
            </w:r>
          </w:p>
        </w:tc>
        <w:tc>
          <w:tcPr>
            <w:tcW w:w="6051" w:type="dxa"/>
            <w:tcBorders>
              <w:bottom w:val="single" w:sz="24" w:space="0" w:color="auto"/>
              <w:right w:val="single" w:sz="24" w:space="0" w:color="auto"/>
            </w:tcBorders>
            <w:vAlign w:val="center"/>
          </w:tcPr>
          <w:p w14:paraId="1EEF27D7" w14:textId="366693F4" w:rsidR="008C2D0B" w:rsidRPr="00BC0453" w:rsidRDefault="00661C54" w:rsidP="008C2D0B">
            <w:pPr>
              <w:rPr>
                <w:b/>
                <w:sz w:val="32"/>
              </w:rPr>
            </w:pPr>
            <w:r>
              <w:rPr>
                <w:b/>
                <w:sz w:val="32"/>
              </w:rPr>
              <w:t>Non-Fiction</w:t>
            </w:r>
          </w:p>
        </w:tc>
      </w:tr>
      <w:tr w:rsidR="00197B21" w14:paraId="7A852CCD" w14:textId="77777777" w:rsidTr="008C2D0B">
        <w:trPr>
          <w:trHeight w:val="544"/>
        </w:trPr>
        <w:tc>
          <w:tcPr>
            <w:tcW w:w="918" w:type="dxa"/>
            <w:tcBorders>
              <w:top w:val="single" w:sz="24" w:space="0" w:color="auto"/>
              <w:left w:val="single" w:sz="24" w:space="0" w:color="auto"/>
            </w:tcBorders>
            <w:vAlign w:val="center"/>
          </w:tcPr>
          <w:p w14:paraId="1779E8B8" w14:textId="77777777" w:rsidR="00197B21" w:rsidRPr="00DD40BC" w:rsidRDefault="00197B21" w:rsidP="00197B21">
            <w:pPr>
              <w:jc w:val="center"/>
              <w:rPr>
                <w:b/>
              </w:rPr>
            </w:pPr>
            <w:r w:rsidRPr="00DD40BC">
              <w:rPr>
                <w:b/>
              </w:rPr>
              <w:t xml:space="preserve">Lesson </w:t>
            </w:r>
          </w:p>
        </w:tc>
        <w:tc>
          <w:tcPr>
            <w:tcW w:w="6051" w:type="dxa"/>
            <w:tcBorders>
              <w:top w:val="single" w:sz="24" w:space="0" w:color="auto"/>
              <w:right w:val="single" w:sz="24" w:space="0" w:color="auto"/>
            </w:tcBorders>
            <w:vAlign w:val="center"/>
          </w:tcPr>
          <w:p w14:paraId="14847D0A" w14:textId="77777777" w:rsidR="00197B21" w:rsidRDefault="00197B21" w:rsidP="00197B21">
            <w:pPr>
              <w:rPr>
                <w:b/>
              </w:rPr>
            </w:pPr>
            <w:r w:rsidRPr="00DD40BC">
              <w:rPr>
                <w:b/>
              </w:rPr>
              <w:t>Key aim/title/objective of the lesson?</w:t>
            </w:r>
            <w:r>
              <w:rPr>
                <w:b/>
              </w:rPr>
              <w:t xml:space="preserve"> </w:t>
            </w:r>
          </w:p>
          <w:p w14:paraId="3AE19104" w14:textId="39BD9AB0" w:rsidR="00197B21" w:rsidRPr="00DD40BC" w:rsidRDefault="00197B21" w:rsidP="00197B21">
            <w:pPr>
              <w:rPr>
                <w:b/>
              </w:rPr>
            </w:pPr>
            <w:r>
              <w:rPr>
                <w:b/>
              </w:rPr>
              <w:t>These may stretch over a number of lessons as appropriate</w:t>
            </w:r>
          </w:p>
        </w:tc>
      </w:tr>
      <w:tr w:rsidR="00197B21" w14:paraId="049DA6CD" w14:textId="77777777" w:rsidTr="008C2D0B">
        <w:trPr>
          <w:trHeight w:val="393"/>
        </w:trPr>
        <w:tc>
          <w:tcPr>
            <w:tcW w:w="918" w:type="dxa"/>
            <w:tcBorders>
              <w:left w:val="single" w:sz="24" w:space="0" w:color="auto"/>
            </w:tcBorders>
            <w:vAlign w:val="center"/>
          </w:tcPr>
          <w:p w14:paraId="6214B952" w14:textId="77777777" w:rsidR="00197B21" w:rsidRDefault="00197B21" w:rsidP="00197B21">
            <w:pPr>
              <w:jc w:val="center"/>
            </w:pPr>
            <w:r>
              <w:t>1</w:t>
            </w:r>
          </w:p>
        </w:tc>
        <w:tc>
          <w:tcPr>
            <w:tcW w:w="6051" w:type="dxa"/>
            <w:tcBorders>
              <w:right w:val="single" w:sz="24" w:space="0" w:color="auto"/>
            </w:tcBorders>
            <w:vAlign w:val="center"/>
          </w:tcPr>
          <w:p w14:paraId="50165A93" w14:textId="0A92820E" w:rsidR="00F3027F" w:rsidRPr="00661C54" w:rsidRDefault="00661C54" w:rsidP="00661C54">
            <w:pPr>
              <w:rPr>
                <w:color w:val="000000" w:themeColor="text1"/>
                <w:highlight w:val="cyan"/>
              </w:rPr>
            </w:pPr>
            <w:r w:rsidRPr="00661C54">
              <w:rPr>
                <w:color w:val="000000" w:themeColor="text1"/>
              </w:rPr>
              <w:t>Reading</w:t>
            </w:r>
            <w:r>
              <w:rPr>
                <w:color w:val="000000" w:themeColor="text1"/>
              </w:rPr>
              <w:t xml:space="preserve"> – </w:t>
            </w:r>
            <w:r w:rsidR="007432F2">
              <w:rPr>
                <w:color w:val="000000" w:themeColor="text1"/>
              </w:rPr>
              <w:t>Language in editorials (Katie Hopkins immigrants)</w:t>
            </w:r>
          </w:p>
        </w:tc>
      </w:tr>
      <w:tr w:rsidR="00AC6F18" w14:paraId="293150BC" w14:textId="77777777" w:rsidTr="008C2D0B">
        <w:trPr>
          <w:trHeight w:val="378"/>
        </w:trPr>
        <w:tc>
          <w:tcPr>
            <w:tcW w:w="918" w:type="dxa"/>
            <w:tcBorders>
              <w:left w:val="single" w:sz="24" w:space="0" w:color="auto"/>
            </w:tcBorders>
            <w:vAlign w:val="center"/>
          </w:tcPr>
          <w:p w14:paraId="2F14C171" w14:textId="77777777" w:rsidR="00AC6F18" w:rsidRDefault="00AC6F18" w:rsidP="00AC6F18">
            <w:pPr>
              <w:jc w:val="center"/>
            </w:pPr>
            <w:bookmarkStart w:id="1" w:name="_Hlk75507539"/>
            <w:r>
              <w:t>2</w:t>
            </w:r>
          </w:p>
        </w:tc>
        <w:tc>
          <w:tcPr>
            <w:tcW w:w="6051" w:type="dxa"/>
            <w:tcBorders>
              <w:right w:val="single" w:sz="24" w:space="0" w:color="auto"/>
            </w:tcBorders>
            <w:vAlign w:val="center"/>
          </w:tcPr>
          <w:p w14:paraId="4A4DE404" w14:textId="2723FA49" w:rsidR="00AC6F18" w:rsidRPr="00AC6F18" w:rsidRDefault="00661C54" w:rsidP="00AC6F18">
            <w:pPr>
              <w:rPr>
                <w:color w:val="000000" w:themeColor="text1"/>
              </w:rPr>
            </w:pPr>
            <w:r>
              <w:rPr>
                <w:color w:val="000000" w:themeColor="text1"/>
              </w:rPr>
              <w:t>Reading</w:t>
            </w:r>
            <w:r w:rsidR="007432F2">
              <w:rPr>
                <w:color w:val="000000" w:themeColor="text1"/>
              </w:rPr>
              <w:t xml:space="preserve"> </w:t>
            </w:r>
            <w:r w:rsidR="00355B38">
              <w:rPr>
                <w:color w:val="000000" w:themeColor="text1"/>
              </w:rPr>
              <w:t>–</w:t>
            </w:r>
            <w:r w:rsidR="007432F2">
              <w:rPr>
                <w:color w:val="000000" w:themeColor="text1"/>
              </w:rPr>
              <w:t xml:space="preserve"> </w:t>
            </w:r>
            <w:r w:rsidR="00355B38">
              <w:rPr>
                <w:color w:val="000000" w:themeColor="text1"/>
              </w:rPr>
              <w:t>Article</w:t>
            </w:r>
          </w:p>
        </w:tc>
      </w:tr>
      <w:tr w:rsidR="00AC6F18" w14:paraId="0A36B19E" w14:textId="77777777" w:rsidTr="008C2D0B">
        <w:trPr>
          <w:trHeight w:val="378"/>
        </w:trPr>
        <w:tc>
          <w:tcPr>
            <w:tcW w:w="918" w:type="dxa"/>
            <w:tcBorders>
              <w:left w:val="single" w:sz="24" w:space="0" w:color="auto"/>
            </w:tcBorders>
            <w:vAlign w:val="center"/>
          </w:tcPr>
          <w:p w14:paraId="63F3099F" w14:textId="77777777" w:rsidR="00AC6F18" w:rsidRDefault="00AC6F18" w:rsidP="00AC6F18">
            <w:pPr>
              <w:jc w:val="center"/>
            </w:pPr>
            <w:r>
              <w:t>3</w:t>
            </w:r>
          </w:p>
        </w:tc>
        <w:tc>
          <w:tcPr>
            <w:tcW w:w="6051" w:type="dxa"/>
            <w:tcBorders>
              <w:right w:val="single" w:sz="24" w:space="0" w:color="auto"/>
            </w:tcBorders>
            <w:vAlign w:val="center"/>
          </w:tcPr>
          <w:p w14:paraId="7DC503FB" w14:textId="295D3940" w:rsidR="00AC6F18" w:rsidRPr="00F3027F" w:rsidRDefault="00661C54" w:rsidP="00AC6F18">
            <w:pPr>
              <w:rPr>
                <w:color w:val="000000" w:themeColor="text1"/>
                <w:highlight w:val="cyan"/>
              </w:rPr>
            </w:pPr>
            <w:r w:rsidRPr="00661C54">
              <w:rPr>
                <w:color w:val="000000" w:themeColor="text1"/>
              </w:rPr>
              <w:t>Reading</w:t>
            </w:r>
            <w:r w:rsidR="00355B38">
              <w:rPr>
                <w:color w:val="000000" w:themeColor="text1"/>
              </w:rPr>
              <w:t xml:space="preserve"> - Article</w:t>
            </w:r>
          </w:p>
        </w:tc>
      </w:tr>
      <w:bookmarkEnd w:id="1"/>
      <w:tr w:rsidR="00197B21" w14:paraId="7A4A55F6" w14:textId="77777777" w:rsidTr="008C2D0B">
        <w:trPr>
          <w:trHeight w:val="378"/>
        </w:trPr>
        <w:tc>
          <w:tcPr>
            <w:tcW w:w="918" w:type="dxa"/>
            <w:tcBorders>
              <w:left w:val="single" w:sz="24" w:space="0" w:color="auto"/>
            </w:tcBorders>
            <w:vAlign w:val="center"/>
          </w:tcPr>
          <w:p w14:paraId="6F48B092" w14:textId="77777777" w:rsidR="00197B21" w:rsidRDefault="00197B21" w:rsidP="00197B21">
            <w:pPr>
              <w:jc w:val="center"/>
            </w:pPr>
            <w:r>
              <w:t>4</w:t>
            </w:r>
          </w:p>
        </w:tc>
        <w:tc>
          <w:tcPr>
            <w:tcW w:w="6051" w:type="dxa"/>
            <w:tcBorders>
              <w:right w:val="single" w:sz="24" w:space="0" w:color="auto"/>
            </w:tcBorders>
            <w:vAlign w:val="center"/>
          </w:tcPr>
          <w:p w14:paraId="52AAB764" w14:textId="74239144" w:rsidR="00197B21" w:rsidRPr="00AC6F18" w:rsidRDefault="00661C54" w:rsidP="00197B21">
            <w:pPr>
              <w:rPr>
                <w:color w:val="000000" w:themeColor="text1"/>
                <w:highlight w:val="cyan"/>
              </w:rPr>
            </w:pPr>
            <w:r w:rsidRPr="00661C54">
              <w:rPr>
                <w:color w:val="000000" w:themeColor="text1"/>
              </w:rPr>
              <w:t>Reading</w:t>
            </w:r>
            <w:r w:rsidR="007432F2">
              <w:rPr>
                <w:color w:val="000000" w:themeColor="text1"/>
              </w:rPr>
              <w:t xml:space="preserve"> -  Open Letter (Attitudes towards assisted dying)</w:t>
            </w:r>
          </w:p>
        </w:tc>
      </w:tr>
      <w:tr w:rsidR="00197B21" w14:paraId="0695362A" w14:textId="77777777" w:rsidTr="008C2D0B">
        <w:trPr>
          <w:trHeight w:val="378"/>
        </w:trPr>
        <w:tc>
          <w:tcPr>
            <w:tcW w:w="918" w:type="dxa"/>
            <w:tcBorders>
              <w:left w:val="single" w:sz="24" w:space="0" w:color="auto"/>
            </w:tcBorders>
            <w:vAlign w:val="center"/>
          </w:tcPr>
          <w:p w14:paraId="10D0A805" w14:textId="77777777" w:rsidR="00197B21" w:rsidRDefault="00197B21" w:rsidP="00197B21">
            <w:pPr>
              <w:jc w:val="center"/>
            </w:pPr>
            <w:r>
              <w:t>5</w:t>
            </w:r>
          </w:p>
        </w:tc>
        <w:tc>
          <w:tcPr>
            <w:tcW w:w="6051" w:type="dxa"/>
            <w:tcBorders>
              <w:right w:val="single" w:sz="24" w:space="0" w:color="auto"/>
            </w:tcBorders>
            <w:vAlign w:val="center"/>
          </w:tcPr>
          <w:p w14:paraId="2FCA7FCA" w14:textId="00823633" w:rsidR="00197B21" w:rsidRPr="00F3027F" w:rsidRDefault="00661C54" w:rsidP="007432F2">
            <w:pPr>
              <w:rPr>
                <w:color w:val="000000" w:themeColor="text1"/>
                <w:highlight w:val="cyan"/>
              </w:rPr>
            </w:pPr>
            <w:r w:rsidRPr="00661C54">
              <w:rPr>
                <w:color w:val="000000" w:themeColor="text1"/>
              </w:rPr>
              <w:t>Reading</w:t>
            </w:r>
            <w:r>
              <w:rPr>
                <w:color w:val="000000" w:themeColor="text1"/>
              </w:rPr>
              <w:t xml:space="preserve"> -  </w:t>
            </w:r>
            <w:r w:rsidR="007432F2">
              <w:rPr>
                <w:color w:val="000000" w:themeColor="text1"/>
              </w:rPr>
              <w:t xml:space="preserve"> Marked piece on attitudes in the open letter</w:t>
            </w:r>
          </w:p>
        </w:tc>
      </w:tr>
      <w:tr w:rsidR="00197B21" w14:paraId="40D09E11" w14:textId="77777777" w:rsidTr="008C2D0B">
        <w:trPr>
          <w:trHeight w:val="378"/>
        </w:trPr>
        <w:tc>
          <w:tcPr>
            <w:tcW w:w="918" w:type="dxa"/>
            <w:tcBorders>
              <w:left w:val="single" w:sz="24" w:space="0" w:color="auto"/>
            </w:tcBorders>
            <w:vAlign w:val="center"/>
          </w:tcPr>
          <w:p w14:paraId="254B8B34" w14:textId="77777777" w:rsidR="00197B21" w:rsidRDefault="00197B21" w:rsidP="00197B21">
            <w:pPr>
              <w:jc w:val="center"/>
            </w:pPr>
            <w:r>
              <w:t>6</w:t>
            </w:r>
          </w:p>
        </w:tc>
        <w:tc>
          <w:tcPr>
            <w:tcW w:w="6051" w:type="dxa"/>
            <w:tcBorders>
              <w:right w:val="single" w:sz="24" w:space="0" w:color="auto"/>
            </w:tcBorders>
            <w:vAlign w:val="center"/>
          </w:tcPr>
          <w:p w14:paraId="5E28083B" w14:textId="0E2D6166" w:rsidR="00197B21" w:rsidRPr="00F3027F" w:rsidRDefault="00661C54" w:rsidP="007432F2">
            <w:pPr>
              <w:rPr>
                <w:color w:val="000000" w:themeColor="text1"/>
                <w:highlight w:val="cyan"/>
              </w:rPr>
            </w:pPr>
            <w:r w:rsidRPr="00661C54">
              <w:rPr>
                <w:color w:val="000000" w:themeColor="text1"/>
              </w:rPr>
              <w:t>Reading</w:t>
            </w:r>
            <w:r>
              <w:rPr>
                <w:color w:val="000000" w:themeColor="text1"/>
              </w:rPr>
              <w:t xml:space="preserve"> – </w:t>
            </w:r>
            <w:r w:rsidR="007432F2">
              <w:rPr>
                <w:color w:val="000000" w:themeColor="text1"/>
              </w:rPr>
              <w:t>Open Letter (Marcus Rashford)</w:t>
            </w:r>
          </w:p>
        </w:tc>
      </w:tr>
      <w:tr w:rsidR="00197B21" w14:paraId="01C4F6F3" w14:textId="77777777" w:rsidTr="008C2D0B">
        <w:trPr>
          <w:trHeight w:val="378"/>
        </w:trPr>
        <w:tc>
          <w:tcPr>
            <w:tcW w:w="918" w:type="dxa"/>
            <w:tcBorders>
              <w:left w:val="single" w:sz="24" w:space="0" w:color="auto"/>
            </w:tcBorders>
            <w:vAlign w:val="center"/>
          </w:tcPr>
          <w:p w14:paraId="1E4CDBD4" w14:textId="77777777" w:rsidR="00197B21" w:rsidRPr="00661C54" w:rsidRDefault="00197B21" w:rsidP="00197B21">
            <w:pPr>
              <w:jc w:val="center"/>
              <w:rPr>
                <w:color w:val="000000" w:themeColor="text1"/>
              </w:rPr>
            </w:pPr>
            <w:r w:rsidRPr="00661C54">
              <w:rPr>
                <w:color w:val="000000" w:themeColor="text1"/>
              </w:rPr>
              <w:t>7</w:t>
            </w:r>
          </w:p>
        </w:tc>
        <w:tc>
          <w:tcPr>
            <w:tcW w:w="6051" w:type="dxa"/>
            <w:tcBorders>
              <w:right w:val="single" w:sz="24" w:space="0" w:color="auto"/>
            </w:tcBorders>
            <w:vAlign w:val="center"/>
          </w:tcPr>
          <w:p w14:paraId="059A0BD7" w14:textId="7DFE3F26" w:rsidR="00197B21" w:rsidRPr="007A0771" w:rsidRDefault="00661C54" w:rsidP="007432F2">
            <w:pPr>
              <w:rPr>
                <w:highlight w:val="cyan"/>
              </w:rPr>
            </w:pPr>
            <w:r w:rsidRPr="00661C54">
              <w:t>Reading</w:t>
            </w:r>
            <w:r w:rsidR="007432F2">
              <w:t xml:space="preserve"> – Speech</w:t>
            </w:r>
          </w:p>
        </w:tc>
      </w:tr>
      <w:tr w:rsidR="00197B21" w14:paraId="2B49010C" w14:textId="77777777" w:rsidTr="008C2D0B">
        <w:trPr>
          <w:trHeight w:val="378"/>
        </w:trPr>
        <w:tc>
          <w:tcPr>
            <w:tcW w:w="918" w:type="dxa"/>
            <w:tcBorders>
              <w:left w:val="single" w:sz="24" w:space="0" w:color="auto"/>
            </w:tcBorders>
            <w:vAlign w:val="center"/>
          </w:tcPr>
          <w:p w14:paraId="7C427275" w14:textId="77777777" w:rsidR="00197B21" w:rsidRPr="00661C54" w:rsidRDefault="00197B21" w:rsidP="00197B21">
            <w:pPr>
              <w:jc w:val="center"/>
              <w:rPr>
                <w:color w:val="000000" w:themeColor="text1"/>
              </w:rPr>
            </w:pPr>
            <w:r w:rsidRPr="00661C54">
              <w:rPr>
                <w:color w:val="000000" w:themeColor="text1"/>
              </w:rPr>
              <w:t>8</w:t>
            </w:r>
          </w:p>
        </w:tc>
        <w:tc>
          <w:tcPr>
            <w:tcW w:w="6051" w:type="dxa"/>
            <w:tcBorders>
              <w:right w:val="single" w:sz="24" w:space="0" w:color="auto"/>
            </w:tcBorders>
            <w:vAlign w:val="center"/>
          </w:tcPr>
          <w:p w14:paraId="1C2DFCD4" w14:textId="2B8CFA56" w:rsidR="00197B21" w:rsidRPr="00F3027F" w:rsidRDefault="00661C54" w:rsidP="00197B21">
            <w:pPr>
              <w:rPr>
                <w:highlight w:val="yellow"/>
              </w:rPr>
            </w:pPr>
            <w:r w:rsidRPr="00661C54">
              <w:t>Reading</w:t>
            </w:r>
            <w:r w:rsidR="007432F2">
              <w:t xml:space="preserve"> – Speech</w:t>
            </w:r>
          </w:p>
        </w:tc>
      </w:tr>
      <w:tr w:rsidR="00197B21" w14:paraId="3E4058BC" w14:textId="77777777" w:rsidTr="008C2D0B">
        <w:trPr>
          <w:trHeight w:val="378"/>
        </w:trPr>
        <w:tc>
          <w:tcPr>
            <w:tcW w:w="918" w:type="dxa"/>
            <w:tcBorders>
              <w:left w:val="single" w:sz="24" w:space="0" w:color="auto"/>
            </w:tcBorders>
            <w:vAlign w:val="center"/>
          </w:tcPr>
          <w:p w14:paraId="2AB9ED65" w14:textId="77777777" w:rsidR="00197B21" w:rsidRPr="00661C54" w:rsidRDefault="00197B21" w:rsidP="00197B21">
            <w:pPr>
              <w:jc w:val="center"/>
              <w:rPr>
                <w:color w:val="000000" w:themeColor="text1"/>
              </w:rPr>
            </w:pPr>
            <w:r w:rsidRPr="00661C54">
              <w:rPr>
                <w:color w:val="000000" w:themeColor="text1"/>
              </w:rPr>
              <w:t>9</w:t>
            </w:r>
          </w:p>
        </w:tc>
        <w:tc>
          <w:tcPr>
            <w:tcW w:w="6051" w:type="dxa"/>
            <w:tcBorders>
              <w:right w:val="single" w:sz="24" w:space="0" w:color="auto"/>
            </w:tcBorders>
            <w:vAlign w:val="center"/>
          </w:tcPr>
          <w:p w14:paraId="39D512D5" w14:textId="7589C9B3" w:rsidR="00197B21" w:rsidRPr="00F3027F" w:rsidRDefault="00661C54" w:rsidP="00197B21">
            <w:pPr>
              <w:rPr>
                <w:highlight w:val="yellow"/>
              </w:rPr>
            </w:pPr>
            <w:r w:rsidRPr="00661C54">
              <w:t>Reading</w:t>
            </w:r>
            <w:r w:rsidR="007432F2">
              <w:t xml:space="preserve"> – Writing about speech (assessment)</w:t>
            </w:r>
          </w:p>
        </w:tc>
      </w:tr>
      <w:tr w:rsidR="00197B21" w14:paraId="59565172" w14:textId="77777777" w:rsidTr="008C2D0B">
        <w:trPr>
          <w:trHeight w:val="378"/>
        </w:trPr>
        <w:tc>
          <w:tcPr>
            <w:tcW w:w="918" w:type="dxa"/>
            <w:tcBorders>
              <w:left w:val="single" w:sz="24" w:space="0" w:color="auto"/>
            </w:tcBorders>
            <w:vAlign w:val="center"/>
          </w:tcPr>
          <w:p w14:paraId="4598F897" w14:textId="77777777" w:rsidR="00197B21" w:rsidRPr="00661C54" w:rsidRDefault="00197B21" w:rsidP="00197B21">
            <w:pPr>
              <w:jc w:val="center"/>
              <w:rPr>
                <w:color w:val="000000" w:themeColor="text1"/>
              </w:rPr>
            </w:pPr>
            <w:r w:rsidRPr="00661C54">
              <w:rPr>
                <w:color w:val="000000" w:themeColor="text1"/>
              </w:rPr>
              <w:t>10</w:t>
            </w:r>
          </w:p>
        </w:tc>
        <w:tc>
          <w:tcPr>
            <w:tcW w:w="6051" w:type="dxa"/>
            <w:tcBorders>
              <w:right w:val="single" w:sz="24" w:space="0" w:color="auto"/>
            </w:tcBorders>
            <w:vAlign w:val="center"/>
          </w:tcPr>
          <w:p w14:paraId="18859FF6" w14:textId="37AB886E" w:rsidR="00197B21" w:rsidRPr="00F3027F" w:rsidRDefault="00661C54" w:rsidP="00197B21">
            <w:pPr>
              <w:rPr>
                <w:highlight w:val="yellow"/>
              </w:rPr>
            </w:pPr>
            <w:r w:rsidRPr="00661C54">
              <w:t>Letter writing task</w:t>
            </w:r>
          </w:p>
        </w:tc>
      </w:tr>
      <w:tr w:rsidR="00197B21" w14:paraId="57DB9854" w14:textId="77777777" w:rsidTr="008C2D0B">
        <w:trPr>
          <w:trHeight w:val="378"/>
        </w:trPr>
        <w:tc>
          <w:tcPr>
            <w:tcW w:w="918" w:type="dxa"/>
            <w:tcBorders>
              <w:left w:val="single" w:sz="24" w:space="0" w:color="auto"/>
            </w:tcBorders>
            <w:vAlign w:val="center"/>
          </w:tcPr>
          <w:p w14:paraId="5F7F5B47" w14:textId="77777777" w:rsidR="00197B21" w:rsidRPr="00661C54" w:rsidRDefault="00197B21" w:rsidP="00197B21">
            <w:pPr>
              <w:jc w:val="center"/>
              <w:rPr>
                <w:color w:val="000000" w:themeColor="text1"/>
              </w:rPr>
            </w:pPr>
            <w:r w:rsidRPr="00661C54">
              <w:rPr>
                <w:color w:val="000000" w:themeColor="text1"/>
              </w:rPr>
              <w:t>11</w:t>
            </w:r>
          </w:p>
        </w:tc>
        <w:tc>
          <w:tcPr>
            <w:tcW w:w="6051" w:type="dxa"/>
            <w:tcBorders>
              <w:right w:val="single" w:sz="24" w:space="0" w:color="auto"/>
            </w:tcBorders>
            <w:vAlign w:val="center"/>
          </w:tcPr>
          <w:p w14:paraId="33DD9CF8" w14:textId="4A9DB0E9" w:rsidR="00197B21" w:rsidRPr="00F3027F" w:rsidRDefault="00661C54" w:rsidP="00197B21">
            <w:pPr>
              <w:rPr>
                <w:highlight w:val="yellow"/>
              </w:rPr>
            </w:pPr>
            <w:r w:rsidRPr="00661C54">
              <w:t>Letter writing task</w:t>
            </w:r>
          </w:p>
        </w:tc>
      </w:tr>
      <w:tr w:rsidR="00197B21" w14:paraId="5600B365" w14:textId="77777777" w:rsidTr="008C2D0B">
        <w:trPr>
          <w:trHeight w:val="378"/>
        </w:trPr>
        <w:tc>
          <w:tcPr>
            <w:tcW w:w="918" w:type="dxa"/>
            <w:tcBorders>
              <w:left w:val="single" w:sz="24" w:space="0" w:color="auto"/>
            </w:tcBorders>
            <w:vAlign w:val="center"/>
          </w:tcPr>
          <w:p w14:paraId="1E6FBE3C" w14:textId="77777777" w:rsidR="00197B21" w:rsidRPr="00661C54" w:rsidRDefault="00197B21" w:rsidP="00197B21">
            <w:pPr>
              <w:jc w:val="center"/>
              <w:rPr>
                <w:color w:val="000000" w:themeColor="text1"/>
              </w:rPr>
            </w:pPr>
            <w:r w:rsidRPr="00661C54">
              <w:rPr>
                <w:color w:val="000000" w:themeColor="text1"/>
              </w:rPr>
              <w:t>12</w:t>
            </w:r>
          </w:p>
        </w:tc>
        <w:tc>
          <w:tcPr>
            <w:tcW w:w="6051" w:type="dxa"/>
            <w:tcBorders>
              <w:right w:val="single" w:sz="24" w:space="0" w:color="auto"/>
            </w:tcBorders>
            <w:vAlign w:val="center"/>
          </w:tcPr>
          <w:p w14:paraId="3FE1D6F8" w14:textId="1FF70C1E" w:rsidR="00197B21" w:rsidRPr="00F3027F" w:rsidRDefault="00661C54" w:rsidP="00197B21">
            <w:pPr>
              <w:rPr>
                <w:highlight w:val="yellow"/>
              </w:rPr>
            </w:pPr>
            <w:r w:rsidRPr="00661C54">
              <w:t>Speech writing task</w:t>
            </w:r>
            <w:r w:rsidR="007432F2">
              <w:t xml:space="preserve"> – climate change statement (students)</w:t>
            </w:r>
          </w:p>
        </w:tc>
      </w:tr>
      <w:tr w:rsidR="00197B21" w14:paraId="27DBF602" w14:textId="77777777" w:rsidTr="008C2D0B">
        <w:trPr>
          <w:trHeight w:val="378"/>
        </w:trPr>
        <w:tc>
          <w:tcPr>
            <w:tcW w:w="918" w:type="dxa"/>
            <w:tcBorders>
              <w:left w:val="single" w:sz="24" w:space="0" w:color="auto"/>
            </w:tcBorders>
            <w:vAlign w:val="center"/>
          </w:tcPr>
          <w:p w14:paraId="73EF1895" w14:textId="77777777" w:rsidR="00197B21" w:rsidRDefault="00197B21" w:rsidP="00197B21">
            <w:pPr>
              <w:jc w:val="center"/>
            </w:pPr>
            <w:r>
              <w:t>13</w:t>
            </w:r>
          </w:p>
        </w:tc>
        <w:tc>
          <w:tcPr>
            <w:tcW w:w="6051" w:type="dxa"/>
            <w:tcBorders>
              <w:right w:val="single" w:sz="24" w:space="0" w:color="auto"/>
            </w:tcBorders>
            <w:vAlign w:val="center"/>
          </w:tcPr>
          <w:p w14:paraId="368F05BD" w14:textId="6EA36A28" w:rsidR="00197B21" w:rsidRDefault="00661C54" w:rsidP="00197B21">
            <w:r>
              <w:t>Speech writing task</w:t>
            </w:r>
          </w:p>
        </w:tc>
      </w:tr>
      <w:tr w:rsidR="00197B21" w14:paraId="2235DAD3" w14:textId="77777777" w:rsidTr="00661C54">
        <w:trPr>
          <w:trHeight w:val="378"/>
        </w:trPr>
        <w:tc>
          <w:tcPr>
            <w:tcW w:w="918" w:type="dxa"/>
            <w:tcBorders>
              <w:left w:val="single" w:sz="24" w:space="0" w:color="auto"/>
              <w:bottom w:val="single" w:sz="12" w:space="0" w:color="auto"/>
            </w:tcBorders>
            <w:vAlign w:val="center"/>
          </w:tcPr>
          <w:p w14:paraId="3C79761B" w14:textId="77777777" w:rsidR="00197B21" w:rsidRDefault="00197B21" w:rsidP="00197B21">
            <w:pPr>
              <w:jc w:val="center"/>
            </w:pPr>
            <w:r>
              <w:t>14</w:t>
            </w:r>
          </w:p>
        </w:tc>
        <w:tc>
          <w:tcPr>
            <w:tcW w:w="6051" w:type="dxa"/>
            <w:tcBorders>
              <w:bottom w:val="single" w:sz="4" w:space="0" w:color="auto"/>
              <w:right w:val="single" w:sz="24" w:space="0" w:color="auto"/>
            </w:tcBorders>
            <w:vAlign w:val="center"/>
          </w:tcPr>
          <w:p w14:paraId="1AB4B94F" w14:textId="7186D673" w:rsidR="00197B21" w:rsidRDefault="00661C54" w:rsidP="00197B21">
            <w:r>
              <w:t xml:space="preserve">Assessment Preparation </w:t>
            </w:r>
          </w:p>
        </w:tc>
      </w:tr>
      <w:tr w:rsidR="00197B21" w14:paraId="6DABBA4C" w14:textId="77777777" w:rsidTr="00661C54">
        <w:trPr>
          <w:trHeight w:val="378"/>
        </w:trPr>
        <w:tc>
          <w:tcPr>
            <w:tcW w:w="918" w:type="dxa"/>
            <w:tcBorders>
              <w:top w:val="single" w:sz="12" w:space="0" w:color="auto"/>
              <w:left w:val="single" w:sz="12" w:space="0" w:color="auto"/>
              <w:bottom w:val="single" w:sz="4" w:space="0" w:color="auto"/>
              <w:right w:val="single" w:sz="4" w:space="0" w:color="auto"/>
            </w:tcBorders>
            <w:vAlign w:val="center"/>
          </w:tcPr>
          <w:p w14:paraId="0718A34D" w14:textId="77777777" w:rsidR="00197B21" w:rsidRDefault="00197B21" w:rsidP="00197B21">
            <w:pPr>
              <w:jc w:val="center"/>
            </w:pPr>
            <w:r>
              <w:t>15</w:t>
            </w:r>
          </w:p>
        </w:tc>
        <w:tc>
          <w:tcPr>
            <w:tcW w:w="6051" w:type="dxa"/>
            <w:tcBorders>
              <w:top w:val="single" w:sz="4" w:space="0" w:color="auto"/>
              <w:left w:val="single" w:sz="4" w:space="0" w:color="auto"/>
              <w:bottom w:val="single" w:sz="4" w:space="0" w:color="auto"/>
              <w:right w:val="single" w:sz="4" w:space="0" w:color="auto"/>
            </w:tcBorders>
            <w:vAlign w:val="center"/>
          </w:tcPr>
          <w:p w14:paraId="573D81DC" w14:textId="05DC5A74" w:rsidR="00197B21" w:rsidRDefault="00661C54" w:rsidP="00197B21">
            <w:r>
              <w:t>Assessment – Speech Writing</w:t>
            </w:r>
          </w:p>
        </w:tc>
      </w:tr>
      <w:tr w:rsidR="00661C54" w14:paraId="45B13CB6" w14:textId="77777777" w:rsidTr="00661C54">
        <w:trPr>
          <w:trHeight w:val="1154"/>
        </w:trPr>
        <w:tc>
          <w:tcPr>
            <w:tcW w:w="6969" w:type="dxa"/>
            <w:gridSpan w:val="2"/>
            <w:tcBorders>
              <w:top w:val="single" w:sz="4" w:space="0" w:color="auto"/>
              <w:left w:val="nil"/>
              <w:right w:val="single" w:sz="4" w:space="0" w:color="auto"/>
            </w:tcBorders>
            <w:vAlign w:val="center"/>
          </w:tcPr>
          <w:p w14:paraId="3A7F6E24" w14:textId="5B4F93CE" w:rsidR="00661C54" w:rsidRPr="007A0771" w:rsidRDefault="00661C54" w:rsidP="00197B21"/>
        </w:tc>
      </w:tr>
      <w:tr w:rsidR="00197B21" w14:paraId="40F89D04" w14:textId="77777777" w:rsidTr="006F217F">
        <w:trPr>
          <w:trHeight w:val="2023"/>
        </w:trPr>
        <w:tc>
          <w:tcPr>
            <w:tcW w:w="6969" w:type="dxa"/>
            <w:gridSpan w:val="2"/>
            <w:tcBorders>
              <w:top w:val="single" w:sz="4" w:space="0" w:color="auto"/>
              <w:left w:val="single" w:sz="24" w:space="0" w:color="auto"/>
              <w:bottom w:val="single" w:sz="24" w:space="0" w:color="auto"/>
              <w:right w:val="single" w:sz="24" w:space="0" w:color="auto"/>
            </w:tcBorders>
          </w:tcPr>
          <w:p w14:paraId="352B5936" w14:textId="29DF832A" w:rsidR="00197B21" w:rsidRDefault="00197B21" w:rsidP="00197B21">
            <w:r w:rsidRPr="008C2D0B">
              <w:t>Key vocabulary</w:t>
            </w:r>
            <w:r>
              <w:t xml:space="preserve"> and/or k</w:t>
            </w:r>
            <w:r w:rsidRPr="008C2D0B">
              <w:t>ey reading</w:t>
            </w:r>
            <w:r w:rsidR="0094665F">
              <w:t>:</w:t>
            </w:r>
          </w:p>
          <w:p w14:paraId="7EB7A610" w14:textId="657460B7" w:rsidR="001A475D" w:rsidRDefault="001A475D" w:rsidP="001A475D">
            <w:pPr>
              <w:pStyle w:val="ListParagraph"/>
              <w:numPr>
                <w:ilvl w:val="0"/>
                <w:numId w:val="6"/>
              </w:numPr>
            </w:pPr>
            <w:r>
              <w:t>Non-fiction</w:t>
            </w:r>
          </w:p>
          <w:p w14:paraId="3CAF463D" w14:textId="2FF9830E" w:rsidR="001A475D" w:rsidRDefault="001A475D" w:rsidP="001A475D">
            <w:pPr>
              <w:pStyle w:val="ListParagraph"/>
              <w:numPr>
                <w:ilvl w:val="0"/>
                <w:numId w:val="6"/>
              </w:numPr>
            </w:pPr>
            <w:r>
              <w:t>Language</w:t>
            </w:r>
          </w:p>
          <w:p w14:paraId="12257566" w14:textId="5184BCE7" w:rsidR="001A475D" w:rsidRDefault="001A475D" w:rsidP="001A475D">
            <w:pPr>
              <w:pStyle w:val="ListParagraph"/>
              <w:numPr>
                <w:ilvl w:val="0"/>
                <w:numId w:val="6"/>
              </w:numPr>
            </w:pPr>
            <w:r>
              <w:t>Attitudes</w:t>
            </w:r>
          </w:p>
          <w:p w14:paraId="6C4FBAC3" w14:textId="2E57915D" w:rsidR="00DF5E03" w:rsidRDefault="00DF5E03" w:rsidP="001A475D">
            <w:pPr>
              <w:pStyle w:val="ListParagraph"/>
              <w:numPr>
                <w:ilvl w:val="0"/>
                <w:numId w:val="6"/>
              </w:numPr>
            </w:pPr>
            <w:r>
              <w:t>Purpose</w:t>
            </w:r>
          </w:p>
          <w:p w14:paraId="31A2E62E" w14:textId="77777777" w:rsidR="00D63E6D" w:rsidRPr="0094665F" w:rsidRDefault="00D63E6D" w:rsidP="00197B21">
            <w:pPr>
              <w:rPr>
                <w:sz w:val="6"/>
              </w:rPr>
            </w:pPr>
          </w:p>
          <w:p w14:paraId="288DE596" w14:textId="77777777" w:rsidR="00D63E6D" w:rsidRPr="0094665F" w:rsidRDefault="00D63E6D" w:rsidP="00197B21">
            <w:pPr>
              <w:rPr>
                <w:sz w:val="8"/>
              </w:rPr>
            </w:pPr>
          </w:p>
          <w:p w14:paraId="6386ECBE" w14:textId="3077BF64" w:rsidR="00D63E6D" w:rsidRDefault="00D63E6D" w:rsidP="00197B21">
            <w:r>
              <w:t>Numeracy Opportunities</w:t>
            </w:r>
            <w:r w:rsidR="0094665F">
              <w:t>:</w:t>
            </w:r>
          </w:p>
          <w:p w14:paraId="3B72DF98" w14:textId="34C0E96F" w:rsidR="0094665F" w:rsidRPr="00661C54" w:rsidRDefault="0094665F" w:rsidP="00661C54">
            <w:pPr>
              <w:rPr>
                <w:sz w:val="20"/>
                <w:szCs w:val="20"/>
              </w:rPr>
            </w:pPr>
          </w:p>
        </w:tc>
      </w:tr>
    </w:tbl>
    <w:p w14:paraId="1CAC7148" w14:textId="77777777" w:rsidR="00EA17D0" w:rsidRDefault="008C2D0B" w:rsidP="00F97B8F">
      <w:r>
        <w:rPr>
          <w:noProof/>
          <w:lang w:val="en-US"/>
        </w:rPr>
        <mc:AlternateContent>
          <mc:Choice Requires="wps">
            <w:drawing>
              <wp:anchor distT="0" distB="0" distL="114300" distR="114300" simplePos="0" relativeHeight="251660288" behindDoc="0" locked="0" layoutInCell="1" allowOverlap="1" wp14:anchorId="7E736575" wp14:editId="40E6AE13">
                <wp:simplePos x="0" y="0"/>
                <wp:positionH relativeFrom="column">
                  <wp:align>right</wp:align>
                </wp:positionH>
                <wp:positionV relativeFrom="paragraph">
                  <wp:posOffset>-156754</wp:posOffset>
                </wp:positionV>
                <wp:extent cx="5212080" cy="3526971"/>
                <wp:effectExtent l="19050" t="19050" r="26670" b="16510"/>
                <wp:wrapNone/>
                <wp:docPr id="2" name="Rectangle 2"/>
                <wp:cNvGraphicFramePr/>
                <a:graphic xmlns:a="http://schemas.openxmlformats.org/drawingml/2006/main">
                  <a:graphicData uri="http://schemas.microsoft.com/office/word/2010/wordprocessingShape">
                    <wps:wsp>
                      <wps:cNvSpPr/>
                      <wps:spPr>
                        <a:xfrm>
                          <a:off x="0" y="0"/>
                          <a:ext cx="5212080" cy="3526971"/>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F7260" w14:textId="35193E19" w:rsidR="00DD40BC" w:rsidRDefault="00DD40BC" w:rsidP="00DD40BC">
                            <w:pPr>
                              <w:rPr>
                                <w:b/>
                                <w:sz w:val="18"/>
                                <w:szCs w:val="18"/>
                              </w:rPr>
                            </w:pPr>
                            <w:r w:rsidRPr="00A72B85">
                              <w:rPr>
                                <w:b/>
                                <w:sz w:val="18"/>
                                <w:szCs w:val="18"/>
                              </w:rPr>
                              <w:t>How does this topi</w:t>
                            </w:r>
                            <w:r w:rsidR="008C2D0B" w:rsidRPr="00A72B85">
                              <w:rPr>
                                <w:b/>
                                <w:sz w:val="18"/>
                                <w:szCs w:val="18"/>
                              </w:rPr>
                              <w:t>c</w:t>
                            </w:r>
                            <w:r w:rsidR="00C42433" w:rsidRPr="00A72B85">
                              <w:rPr>
                                <w:b/>
                                <w:sz w:val="18"/>
                                <w:szCs w:val="18"/>
                              </w:rPr>
                              <w:t xml:space="preserve"> build on </w:t>
                            </w:r>
                            <w:r w:rsidRPr="00A72B85">
                              <w:rPr>
                                <w:b/>
                                <w:i/>
                                <w:sz w:val="18"/>
                                <w:szCs w:val="18"/>
                              </w:rPr>
                              <w:t>prior</w:t>
                            </w:r>
                            <w:r w:rsidRPr="00A72B85">
                              <w:rPr>
                                <w:b/>
                                <w:sz w:val="18"/>
                                <w:szCs w:val="18"/>
                              </w:rPr>
                              <w:t xml:space="preserve"> learning?</w:t>
                            </w:r>
                          </w:p>
                          <w:p w14:paraId="24701D93" w14:textId="402B1188" w:rsidR="00E82453" w:rsidRPr="00E82453" w:rsidRDefault="00E82453" w:rsidP="00DD40BC">
                            <w:pPr>
                              <w:rPr>
                                <w:sz w:val="18"/>
                                <w:szCs w:val="18"/>
                              </w:rPr>
                            </w:pPr>
                            <w:r>
                              <w:rPr>
                                <w:sz w:val="18"/>
                                <w:szCs w:val="18"/>
                              </w:rPr>
                              <w:t>In Year 7 and 8, students look at writing schemes and types of texts. This scheme builds on the writing skills taught in 7 and 8.</w:t>
                            </w:r>
                            <w:r w:rsidR="00F520E3">
                              <w:rPr>
                                <w:sz w:val="18"/>
                                <w:szCs w:val="18"/>
                              </w:rPr>
                              <w:t xml:space="preserve"> In the first part of the scheme, students will study the language of a range of texts from either an article, letter or speech. Students have previously studied language analysis and the effect, but in this scheme, students will be looking at specific language choices are used to present a writer’s feeling, attitudes and views. This is a build on prior skills of language analysis, as students are made to look at a text from within. In the second part of the scheme, students will look at writing for audience and purpose. In previous schemes, students have looked at writing skills needed for a particular purpose. Students will build on the skills learnt in the first 9 lessons and look to put those into practice in their own writing.</w:t>
                            </w:r>
                          </w:p>
                          <w:p w14:paraId="11E74B57" w14:textId="4F4C6A0B" w:rsidR="00DD40BC" w:rsidRDefault="00DD40BC" w:rsidP="00DD40BC">
                            <w:pPr>
                              <w:rPr>
                                <w:b/>
                                <w:sz w:val="18"/>
                                <w:szCs w:val="18"/>
                              </w:rPr>
                            </w:pPr>
                            <w:r w:rsidRPr="00A72B85">
                              <w:rPr>
                                <w:b/>
                                <w:sz w:val="18"/>
                                <w:szCs w:val="18"/>
                              </w:rPr>
                              <w:t xml:space="preserve">How </w:t>
                            </w:r>
                            <w:r w:rsidR="00C42433" w:rsidRPr="00A72B85">
                              <w:rPr>
                                <w:b/>
                                <w:sz w:val="18"/>
                                <w:szCs w:val="18"/>
                              </w:rPr>
                              <w:t xml:space="preserve">does </w:t>
                            </w:r>
                            <w:r w:rsidR="008C2D0B" w:rsidRPr="00A72B85">
                              <w:rPr>
                                <w:b/>
                                <w:sz w:val="18"/>
                                <w:szCs w:val="18"/>
                              </w:rPr>
                              <w:t xml:space="preserve">the work during </w:t>
                            </w:r>
                            <w:r w:rsidR="00C42433" w:rsidRPr="00A72B85">
                              <w:rPr>
                                <w:b/>
                                <w:sz w:val="18"/>
                                <w:szCs w:val="18"/>
                              </w:rPr>
                              <w:t>this topic prepare for future learning</w:t>
                            </w:r>
                            <w:r w:rsidR="008C2D0B" w:rsidRPr="00A72B85">
                              <w:rPr>
                                <w:b/>
                                <w:sz w:val="18"/>
                                <w:szCs w:val="18"/>
                              </w:rPr>
                              <w:t>?</w:t>
                            </w:r>
                          </w:p>
                          <w:p w14:paraId="418D0774" w14:textId="793B7AAF" w:rsidR="00F520E3" w:rsidRPr="00F520E3" w:rsidRDefault="00F520E3" w:rsidP="00DD40BC">
                            <w:pPr>
                              <w:rPr>
                                <w:sz w:val="18"/>
                                <w:szCs w:val="18"/>
                              </w:rPr>
                            </w:pPr>
                            <w:r>
                              <w:rPr>
                                <w:sz w:val="18"/>
                                <w:szCs w:val="18"/>
                              </w:rPr>
                              <w:t>The work in this scheme helps to prepare students for</w:t>
                            </w:r>
                            <w:r w:rsidR="00F749CD">
                              <w:rPr>
                                <w:sz w:val="18"/>
                                <w:szCs w:val="18"/>
                              </w:rPr>
                              <w:t xml:space="preserve"> Paper 2 of the AQA English Language scheme. Students will be given non-fiction texts and will have to analyse their use of language within them. In the second part of the exam, students will have to write for audience and purpose. This scheme gives students the grounding in preparation for GCSE.</w:t>
                            </w:r>
                          </w:p>
                          <w:p w14:paraId="226B7876" w14:textId="7883D386" w:rsidR="00197B21" w:rsidRPr="00A72B85" w:rsidRDefault="00197B21" w:rsidP="00197B21">
                            <w:pPr>
                              <w:rPr>
                                <w:b/>
                                <w:sz w:val="18"/>
                                <w:szCs w:val="18"/>
                              </w:rPr>
                            </w:pPr>
                            <w:r w:rsidRPr="00A72B85">
                              <w:rPr>
                                <w:b/>
                                <w:sz w:val="18"/>
                                <w:szCs w:val="18"/>
                              </w:rPr>
                              <w:t xml:space="preserve">How will learning be assessed and feedback provided in this scheme? </w:t>
                            </w:r>
                          </w:p>
                          <w:p w14:paraId="70E4DB74" w14:textId="6D30A5E7" w:rsidR="00A72B85" w:rsidRPr="00F749CD" w:rsidRDefault="00F749CD" w:rsidP="00197B21">
                            <w:pPr>
                              <w:rPr>
                                <w:sz w:val="20"/>
                              </w:rPr>
                            </w:pPr>
                            <w:r>
                              <w:rPr>
                                <w:sz w:val="20"/>
                              </w:rPr>
                              <w:t xml:space="preserve">Students will be assessed in lesson 5 with feedback provided. Students will then conduct a reading assessment in lesson 9. This will be marked against a grading </w:t>
                            </w:r>
                            <w:proofErr w:type="gramStart"/>
                            <w:r>
                              <w:rPr>
                                <w:sz w:val="20"/>
                              </w:rPr>
                              <w:t>criteria</w:t>
                            </w:r>
                            <w:proofErr w:type="gramEnd"/>
                            <w:r>
                              <w:rPr>
                                <w:sz w:val="20"/>
                              </w:rPr>
                              <w:t>. Students will be assessed on writing skills in lesson 15. There will be opportunity for peer assessment throughout.</w:t>
                            </w:r>
                          </w:p>
                          <w:p w14:paraId="7B485ED8" w14:textId="77777777" w:rsidR="00197B21" w:rsidRPr="00A72B85" w:rsidRDefault="00197B21" w:rsidP="00DD40B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36575" id="Rectangle 2" o:spid="_x0000_s1026" style="position:absolute;margin-left:359.2pt;margin-top:-12.35pt;width:410.4pt;height:277.7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" filled="f" strokecolor="black [3213]" strokeweight="3pt">
                <v:textbox>
                  <w:txbxContent>
                    <w:p w14:paraId="41EF7260" w14:textId="35193E19" w:rsidR="00DD40BC" w:rsidRDefault="00DD40BC" w:rsidP="00DD40BC">
                      <w:pPr>
                        <w:rPr>
                          <w:b/>
                          <w:sz w:val="18"/>
                          <w:szCs w:val="18"/>
                        </w:rPr>
                      </w:pPr>
                      <w:r w:rsidRPr="00A72B85">
                        <w:rPr>
                          <w:b/>
                          <w:sz w:val="18"/>
                          <w:szCs w:val="18"/>
                        </w:rPr>
                        <w:t>How does this topi</w:t>
                      </w:r>
                      <w:r w:rsidR="008C2D0B" w:rsidRPr="00A72B85">
                        <w:rPr>
                          <w:b/>
                          <w:sz w:val="18"/>
                          <w:szCs w:val="18"/>
                        </w:rPr>
                        <w:t>c</w:t>
                      </w:r>
                      <w:r w:rsidR="00C42433" w:rsidRPr="00A72B85">
                        <w:rPr>
                          <w:b/>
                          <w:sz w:val="18"/>
                          <w:szCs w:val="18"/>
                        </w:rPr>
                        <w:t xml:space="preserve"> build on </w:t>
                      </w:r>
                      <w:r w:rsidRPr="00A72B85">
                        <w:rPr>
                          <w:b/>
                          <w:i/>
                          <w:sz w:val="18"/>
                          <w:szCs w:val="18"/>
                        </w:rPr>
                        <w:t>prior</w:t>
                      </w:r>
                      <w:r w:rsidRPr="00A72B85">
                        <w:rPr>
                          <w:b/>
                          <w:sz w:val="18"/>
                          <w:szCs w:val="18"/>
                        </w:rPr>
                        <w:t xml:space="preserve"> learning?</w:t>
                      </w:r>
                    </w:p>
                    <w:p w14:paraId="24701D93" w14:textId="402B1188" w:rsidR="00E82453" w:rsidRPr="00E82453" w:rsidRDefault="00E82453" w:rsidP="00DD40BC">
                      <w:pPr>
                        <w:rPr>
                          <w:sz w:val="18"/>
                          <w:szCs w:val="18"/>
                        </w:rPr>
                      </w:pPr>
                      <w:r>
                        <w:rPr>
                          <w:sz w:val="18"/>
                          <w:szCs w:val="18"/>
                        </w:rPr>
                        <w:t>In Year 7 and 8, students look at writing schemes and types of texts. This scheme builds on the writing skills taught in 7 and 8.</w:t>
                      </w:r>
                      <w:r w:rsidR="00F520E3">
                        <w:rPr>
                          <w:sz w:val="18"/>
                          <w:szCs w:val="18"/>
                        </w:rPr>
                        <w:t xml:space="preserve"> </w:t>
                      </w:r>
                      <w:r w:rsidR="00F520E3">
                        <w:rPr>
                          <w:sz w:val="18"/>
                          <w:szCs w:val="18"/>
                        </w:rPr>
                        <w:t>In the first part of the scheme, s</w:t>
                      </w:r>
                      <w:r w:rsidR="00F520E3">
                        <w:rPr>
                          <w:sz w:val="18"/>
                          <w:szCs w:val="18"/>
                        </w:rPr>
                        <w:t>tudents will study the language of a range of texts from either an article, letter or speech. Students have previously studied language analysis and the effect, but in this scheme, students will be looking at specific language choices are used to present a writer’s feeling, attitudes and views. This is a build on prior skills of language analysis, as students are made to look at a text from within. In the second part of the scheme, students will look at writing for audience and purpose. In previous schemes, students have looked at writing skills needed for a particular purpose. Students will build on the skills learnt in the first 9 lessons and look to put those into practice in their own writing.</w:t>
                      </w:r>
                    </w:p>
                    <w:p w14:paraId="11E74B57" w14:textId="4F4C6A0B" w:rsidR="00DD40BC" w:rsidRDefault="00DD40BC" w:rsidP="00DD40BC">
                      <w:pPr>
                        <w:rPr>
                          <w:b/>
                          <w:sz w:val="18"/>
                          <w:szCs w:val="18"/>
                        </w:rPr>
                      </w:pPr>
                      <w:r w:rsidRPr="00A72B85">
                        <w:rPr>
                          <w:b/>
                          <w:sz w:val="18"/>
                          <w:szCs w:val="18"/>
                        </w:rPr>
                        <w:t xml:space="preserve">How </w:t>
                      </w:r>
                      <w:r w:rsidR="00C42433" w:rsidRPr="00A72B85">
                        <w:rPr>
                          <w:b/>
                          <w:sz w:val="18"/>
                          <w:szCs w:val="18"/>
                        </w:rPr>
                        <w:t xml:space="preserve">does </w:t>
                      </w:r>
                      <w:r w:rsidR="008C2D0B" w:rsidRPr="00A72B85">
                        <w:rPr>
                          <w:b/>
                          <w:sz w:val="18"/>
                          <w:szCs w:val="18"/>
                        </w:rPr>
                        <w:t xml:space="preserve">the work during </w:t>
                      </w:r>
                      <w:r w:rsidR="00C42433" w:rsidRPr="00A72B85">
                        <w:rPr>
                          <w:b/>
                          <w:sz w:val="18"/>
                          <w:szCs w:val="18"/>
                        </w:rPr>
                        <w:t>this topic prepare for future learning</w:t>
                      </w:r>
                      <w:r w:rsidR="008C2D0B" w:rsidRPr="00A72B85">
                        <w:rPr>
                          <w:b/>
                          <w:sz w:val="18"/>
                          <w:szCs w:val="18"/>
                        </w:rPr>
                        <w:t>?</w:t>
                      </w:r>
                    </w:p>
                    <w:p w14:paraId="418D0774" w14:textId="793B7AAF" w:rsidR="00F520E3" w:rsidRPr="00F520E3" w:rsidRDefault="00F520E3" w:rsidP="00DD40BC">
                      <w:pPr>
                        <w:rPr>
                          <w:sz w:val="18"/>
                          <w:szCs w:val="18"/>
                        </w:rPr>
                      </w:pPr>
                      <w:r>
                        <w:rPr>
                          <w:sz w:val="18"/>
                          <w:szCs w:val="18"/>
                        </w:rPr>
                        <w:t>The work in this scheme helps to prepare students for</w:t>
                      </w:r>
                      <w:r w:rsidR="00F749CD">
                        <w:rPr>
                          <w:sz w:val="18"/>
                          <w:szCs w:val="18"/>
                        </w:rPr>
                        <w:t xml:space="preserve"> Paper 2 of the AQA English Language scheme. Students will be given non-fiction texts and will have to analyse their use of language within them. In the second part of the exam, students will have to write for audience and purpose. This scheme gives students the grounding in preparation for GCSE.</w:t>
                      </w:r>
                    </w:p>
                    <w:p w14:paraId="226B7876" w14:textId="7883D386" w:rsidR="00197B21" w:rsidRPr="00A72B85" w:rsidRDefault="00197B21" w:rsidP="00197B21">
                      <w:pPr>
                        <w:rPr>
                          <w:b/>
                          <w:sz w:val="18"/>
                          <w:szCs w:val="18"/>
                        </w:rPr>
                      </w:pPr>
                      <w:r w:rsidRPr="00A72B85">
                        <w:rPr>
                          <w:b/>
                          <w:sz w:val="18"/>
                          <w:szCs w:val="18"/>
                        </w:rPr>
                        <w:t xml:space="preserve">How will learning be assessed and feedback provided in this scheme? </w:t>
                      </w:r>
                    </w:p>
                    <w:p w14:paraId="70E4DB74" w14:textId="6D30A5E7" w:rsidR="00A72B85" w:rsidRPr="00F749CD" w:rsidRDefault="00F749CD" w:rsidP="00197B21">
                      <w:pPr>
                        <w:rPr>
                          <w:sz w:val="20"/>
                        </w:rPr>
                      </w:pPr>
                      <w:r>
                        <w:rPr>
                          <w:sz w:val="20"/>
                        </w:rPr>
                        <w:t xml:space="preserve">Students will be assessed in lesson 5 with feedback provided. Students will then conduct a reading assessment in lesson 9. This will be marked against a grading </w:t>
                      </w:r>
                      <w:proofErr w:type="gramStart"/>
                      <w:r>
                        <w:rPr>
                          <w:sz w:val="20"/>
                        </w:rPr>
                        <w:t>criteria</w:t>
                      </w:r>
                      <w:proofErr w:type="gramEnd"/>
                      <w:r>
                        <w:rPr>
                          <w:sz w:val="20"/>
                        </w:rPr>
                        <w:t>. Students will be assessed on writing skills in lesson 15. There will be opportunity for peer assessment throughout.</w:t>
                      </w:r>
                    </w:p>
                    <w:p w14:paraId="7B485ED8" w14:textId="77777777" w:rsidR="00197B21" w:rsidRPr="00A72B85" w:rsidRDefault="00197B21" w:rsidP="00DD40BC">
                      <w:pPr>
                        <w:rPr>
                          <w:sz w:val="20"/>
                        </w:rPr>
                      </w:pPr>
                    </w:p>
                  </w:txbxContent>
                </v:textbox>
              </v:rect>
            </w:pict>
          </mc:Fallback>
        </mc:AlternateContent>
      </w:r>
    </w:p>
    <w:p w14:paraId="1E828DEE" w14:textId="77777777" w:rsidR="00D270C7" w:rsidRDefault="00D270C7" w:rsidP="00F97B8F"/>
    <w:p w14:paraId="118BB4D6" w14:textId="77777777" w:rsidR="00D270C7" w:rsidRDefault="00D270C7" w:rsidP="00F97B8F"/>
    <w:p w14:paraId="37A53342" w14:textId="77777777" w:rsidR="00D270C7" w:rsidRDefault="00D270C7" w:rsidP="00F97B8F"/>
    <w:tbl>
      <w:tblPr>
        <w:tblStyle w:val="TableGrid"/>
        <w:tblpPr w:leftFromText="180" w:rightFromText="180" w:vertAnchor="text" w:horzAnchor="margin" w:tblpXSpec="right" w:tblpY="3557"/>
        <w:tblW w:w="8144" w:type="dxa"/>
        <w:tblLook w:val="04A0" w:firstRow="1" w:lastRow="0" w:firstColumn="1" w:lastColumn="0" w:noHBand="0" w:noVBand="1"/>
      </w:tblPr>
      <w:tblGrid>
        <w:gridCol w:w="2254"/>
        <w:gridCol w:w="5890"/>
      </w:tblGrid>
      <w:tr w:rsidR="008C2D0B" w14:paraId="0793AF32" w14:textId="77777777" w:rsidTr="008C2D0B">
        <w:trPr>
          <w:trHeight w:val="470"/>
        </w:trPr>
        <w:tc>
          <w:tcPr>
            <w:tcW w:w="8144" w:type="dxa"/>
            <w:gridSpan w:val="2"/>
            <w:tcBorders>
              <w:top w:val="single" w:sz="24" w:space="0" w:color="auto"/>
              <w:left w:val="single" w:sz="24" w:space="0" w:color="auto"/>
              <w:right w:val="single" w:sz="24" w:space="0" w:color="auto"/>
            </w:tcBorders>
            <w:vAlign w:val="center"/>
          </w:tcPr>
          <w:p w14:paraId="57AC49AF" w14:textId="413A9F6C" w:rsidR="008C2D0B" w:rsidRPr="00D270C7" w:rsidRDefault="008C2D0B" w:rsidP="008C2D0B">
            <w:pPr>
              <w:tabs>
                <w:tab w:val="left" w:pos="2745"/>
              </w:tabs>
              <w:jc w:val="center"/>
              <w:rPr>
                <w:b/>
              </w:rPr>
            </w:pPr>
            <w:r>
              <w:rPr>
                <w:b/>
              </w:rPr>
              <w:t>Personal Development</w:t>
            </w:r>
          </w:p>
        </w:tc>
      </w:tr>
      <w:tr w:rsidR="008C2D0B" w14:paraId="4D1F4350" w14:textId="77777777" w:rsidTr="008C2D0B">
        <w:trPr>
          <w:trHeight w:val="1049"/>
        </w:trPr>
        <w:tc>
          <w:tcPr>
            <w:tcW w:w="2254" w:type="dxa"/>
            <w:tcBorders>
              <w:left w:val="single" w:sz="24" w:space="0" w:color="auto"/>
            </w:tcBorders>
            <w:vAlign w:val="center"/>
          </w:tcPr>
          <w:p w14:paraId="47B4C4DD" w14:textId="283469F2" w:rsidR="008C2D0B" w:rsidRDefault="008C2D0B" w:rsidP="008C2D0B">
            <w:pPr>
              <w:tabs>
                <w:tab w:val="left" w:pos="2745"/>
              </w:tabs>
            </w:pPr>
            <w:r w:rsidRPr="008C2D0B">
              <w:t>How is this topic developed beyond the classroom?</w:t>
            </w:r>
            <w:r>
              <w:t xml:space="preserve"> </w:t>
            </w:r>
            <w:proofErr w:type="spellStart"/>
            <w:r>
              <w:t>Eg</w:t>
            </w:r>
            <w:proofErr w:type="spellEnd"/>
            <w:r>
              <w:t xml:space="preserve"> </w:t>
            </w:r>
            <w:r w:rsidRPr="00197B21">
              <w:rPr>
                <w:b/>
              </w:rPr>
              <w:t>learning passport?</w:t>
            </w:r>
          </w:p>
        </w:tc>
        <w:tc>
          <w:tcPr>
            <w:tcW w:w="5889" w:type="dxa"/>
            <w:tcBorders>
              <w:right w:val="single" w:sz="24" w:space="0" w:color="auto"/>
            </w:tcBorders>
            <w:vAlign w:val="center"/>
          </w:tcPr>
          <w:p w14:paraId="7CF138DC" w14:textId="5E8E14FE" w:rsidR="008C2D0B" w:rsidRDefault="001A475D" w:rsidP="001A475D">
            <w:pPr>
              <w:pStyle w:val="ListParagraph"/>
              <w:tabs>
                <w:tab w:val="left" w:pos="2745"/>
              </w:tabs>
              <w:ind w:left="0"/>
            </w:pPr>
            <w:r>
              <w:t>Activities for non-fiction reading available in reading week. Purpose of the scheme is to get students interested in topical issues.</w:t>
            </w:r>
          </w:p>
        </w:tc>
      </w:tr>
      <w:tr w:rsidR="008C2D0B" w14:paraId="24C9398E" w14:textId="77777777" w:rsidTr="008C2D0B">
        <w:trPr>
          <w:trHeight w:val="1113"/>
        </w:trPr>
        <w:tc>
          <w:tcPr>
            <w:tcW w:w="2254" w:type="dxa"/>
            <w:tcBorders>
              <w:left w:val="single" w:sz="24" w:space="0" w:color="auto"/>
            </w:tcBorders>
            <w:vAlign w:val="center"/>
          </w:tcPr>
          <w:p w14:paraId="43662369" w14:textId="77777777" w:rsidR="008C2D0B" w:rsidRDefault="008C2D0B" w:rsidP="008C2D0B">
            <w:pPr>
              <w:tabs>
                <w:tab w:val="left" w:pos="2745"/>
              </w:tabs>
            </w:pPr>
            <w:r>
              <w:t xml:space="preserve">How are </w:t>
            </w:r>
            <w:r w:rsidRPr="00D270C7">
              <w:rPr>
                <w:b/>
              </w:rPr>
              <w:t>Careers/ IAG</w:t>
            </w:r>
            <w:r>
              <w:t xml:space="preserve"> links built into this lesson sequence?</w:t>
            </w:r>
          </w:p>
        </w:tc>
        <w:tc>
          <w:tcPr>
            <w:tcW w:w="5889" w:type="dxa"/>
            <w:tcBorders>
              <w:right w:val="single" w:sz="24" w:space="0" w:color="auto"/>
            </w:tcBorders>
            <w:vAlign w:val="center"/>
          </w:tcPr>
          <w:p w14:paraId="40695AB2" w14:textId="79A61950" w:rsidR="008C2D0B" w:rsidRDefault="001A475D" w:rsidP="001A475D">
            <w:pPr>
              <w:pStyle w:val="ListParagraph"/>
              <w:tabs>
                <w:tab w:val="left" w:pos="2745"/>
              </w:tabs>
              <w:ind w:left="0"/>
            </w:pPr>
            <w:r>
              <w:t xml:space="preserve">Journalistic writing – students consider the skills needed for journalistic writing. The consideration of </w:t>
            </w:r>
          </w:p>
        </w:tc>
      </w:tr>
      <w:tr w:rsidR="008C2D0B" w14:paraId="0EBF80F6" w14:textId="77777777" w:rsidTr="008C2D0B">
        <w:trPr>
          <w:trHeight w:val="953"/>
        </w:trPr>
        <w:tc>
          <w:tcPr>
            <w:tcW w:w="2254" w:type="dxa"/>
            <w:tcBorders>
              <w:left w:val="single" w:sz="24" w:space="0" w:color="auto"/>
            </w:tcBorders>
            <w:vAlign w:val="center"/>
          </w:tcPr>
          <w:p w14:paraId="56B1BCB9" w14:textId="77777777" w:rsidR="008C2D0B" w:rsidRPr="00D270C7" w:rsidRDefault="008C2D0B" w:rsidP="008C2D0B">
            <w:pPr>
              <w:tabs>
                <w:tab w:val="left" w:pos="2745"/>
              </w:tabs>
              <w:rPr>
                <w:b/>
              </w:rPr>
            </w:pPr>
            <w:r w:rsidRPr="00D270C7">
              <w:rPr>
                <w:b/>
              </w:rPr>
              <w:t>Relationship Sex and Health Education.</w:t>
            </w:r>
          </w:p>
        </w:tc>
        <w:tc>
          <w:tcPr>
            <w:tcW w:w="5889" w:type="dxa"/>
            <w:tcBorders>
              <w:right w:val="single" w:sz="24" w:space="0" w:color="auto"/>
            </w:tcBorders>
            <w:vAlign w:val="center"/>
          </w:tcPr>
          <w:p w14:paraId="202987B9" w14:textId="77777777" w:rsidR="008C2D0B" w:rsidRDefault="001A475D" w:rsidP="00661C54">
            <w:pPr>
              <w:tabs>
                <w:tab w:val="left" w:pos="2745"/>
              </w:tabs>
            </w:pPr>
            <w:r>
              <w:t>Ideas about welfare and immigration.</w:t>
            </w:r>
          </w:p>
          <w:p w14:paraId="7BA1F1A0" w14:textId="77027DE5" w:rsidR="001A475D" w:rsidRDefault="001A475D" w:rsidP="00661C54">
            <w:pPr>
              <w:tabs>
                <w:tab w:val="left" w:pos="2745"/>
              </w:tabs>
            </w:pPr>
            <w:r>
              <w:t xml:space="preserve">Ideas about human rights </w:t>
            </w:r>
          </w:p>
        </w:tc>
      </w:tr>
      <w:tr w:rsidR="008C2D0B" w14:paraId="0016B2CB" w14:textId="77777777" w:rsidTr="008C2D0B">
        <w:trPr>
          <w:trHeight w:val="1277"/>
        </w:trPr>
        <w:tc>
          <w:tcPr>
            <w:tcW w:w="2254" w:type="dxa"/>
            <w:tcBorders>
              <w:left w:val="single" w:sz="24" w:space="0" w:color="auto"/>
              <w:bottom w:val="single" w:sz="24" w:space="0" w:color="auto"/>
            </w:tcBorders>
            <w:vAlign w:val="center"/>
          </w:tcPr>
          <w:p w14:paraId="63C31E54" w14:textId="77777777" w:rsidR="008C2D0B" w:rsidRDefault="008C2D0B" w:rsidP="008C2D0B">
            <w:pPr>
              <w:tabs>
                <w:tab w:val="left" w:pos="2745"/>
              </w:tabs>
            </w:pPr>
            <w:r w:rsidRPr="00D270C7">
              <w:rPr>
                <w:b/>
              </w:rPr>
              <w:t>Fundamental British Values</w:t>
            </w:r>
            <w:r>
              <w:t xml:space="preserve"> (d</w:t>
            </w:r>
            <w:r w:rsidRPr="00D270C7">
              <w:t>emocracy, the rule of law, individual liberty and respect and tolerance</w:t>
            </w:r>
            <w:r>
              <w:t>)</w:t>
            </w:r>
          </w:p>
        </w:tc>
        <w:tc>
          <w:tcPr>
            <w:tcW w:w="5889" w:type="dxa"/>
            <w:tcBorders>
              <w:bottom w:val="single" w:sz="24" w:space="0" w:color="auto"/>
              <w:right w:val="single" w:sz="24" w:space="0" w:color="auto"/>
            </w:tcBorders>
            <w:vAlign w:val="center"/>
          </w:tcPr>
          <w:p w14:paraId="42B393B9" w14:textId="5D6C96BC" w:rsidR="008C2D0B" w:rsidRDefault="001A475D" w:rsidP="00661C54">
            <w:pPr>
              <w:tabs>
                <w:tab w:val="left" w:pos="2745"/>
              </w:tabs>
            </w:pPr>
            <w:r>
              <w:t>Consideration of tolerance towards other cultures and races by exploring Hopkins’ article on immigrants (tolerance)</w:t>
            </w:r>
          </w:p>
          <w:p w14:paraId="4F6F68DC" w14:textId="2F6AD1C2" w:rsidR="001A475D" w:rsidRDefault="001A475D" w:rsidP="00661C54">
            <w:pPr>
              <w:tabs>
                <w:tab w:val="left" w:pos="2745"/>
              </w:tabs>
            </w:pPr>
            <w:r>
              <w:t>Ideas about lobbying governments to make a change and the ideals to stand up for what you believe – Marcus Rashford letter</w:t>
            </w:r>
          </w:p>
        </w:tc>
      </w:tr>
    </w:tbl>
    <w:p w14:paraId="01D5B452" w14:textId="4D6220E0" w:rsidR="00BC0453" w:rsidRPr="00F97B8F" w:rsidRDefault="00197B21" w:rsidP="00DD40BC">
      <w:pPr>
        <w:tabs>
          <w:tab w:val="left" w:pos="2745"/>
        </w:tabs>
      </w:pPr>
      <w:r>
        <w:rPr>
          <w:noProof/>
          <w:lang w:val="en-US"/>
        </w:rPr>
        <w:drawing>
          <wp:anchor distT="0" distB="0" distL="114300" distR="114300" simplePos="0" relativeHeight="251662336" behindDoc="1" locked="0" layoutInCell="1" allowOverlap="1" wp14:anchorId="67FDF393" wp14:editId="26C0140B">
            <wp:simplePos x="0" y="0"/>
            <wp:positionH relativeFrom="column">
              <wp:posOffset>-1449203</wp:posOffset>
            </wp:positionH>
            <wp:positionV relativeFrom="paragraph">
              <wp:posOffset>1387342</wp:posOffset>
            </wp:positionV>
            <wp:extent cx="1583690" cy="1583690"/>
            <wp:effectExtent l="0" t="0" r="0" b="0"/>
            <wp:wrapNone/>
            <wp:docPr id="4" name="Picture 4" descr="Image result for cottingham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ingham high lo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8416"/>
                              </a14:imgEffect>
                              <a14:imgEffect>
                                <a14:saturation sat="134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0453" w:rsidRPr="00F97B8F" w:rsidSect="00DD40BC">
      <w:headerReference w:type="default" r:id="rId12"/>
      <w:pgSz w:w="16838" w:h="11906" w:orient="landscape"/>
      <w:pgMar w:top="720" w:right="720" w:bottom="720" w:left="720" w:header="22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F304" w14:textId="77777777" w:rsidR="00DE2D61" w:rsidRDefault="00DE2D61" w:rsidP="00F97B8F">
      <w:pPr>
        <w:spacing w:after="0" w:line="240" w:lineRule="auto"/>
      </w:pPr>
      <w:r>
        <w:separator/>
      </w:r>
    </w:p>
  </w:endnote>
  <w:endnote w:type="continuationSeparator" w:id="0">
    <w:p w14:paraId="6AB95421" w14:textId="77777777" w:rsidR="00DE2D61" w:rsidRDefault="00DE2D61" w:rsidP="00F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333B" w14:textId="77777777" w:rsidR="00DE2D61" w:rsidRDefault="00DE2D61" w:rsidP="00F97B8F">
      <w:pPr>
        <w:spacing w:after="0" w:line="240" w:lineRule="auto"/>
      </w:pPr>
      <w:r>
        <w:separator/>
      </w:r>
    </w:p>
  </w:footnote>
  <w:footnote w:type="continuationSeparator" w:id="0">
    <w:p w14:paraId="59F72FC8" w14:textId="77777777" w:rsidR="00DE2D61" w:rsidRDefault="00DE2D61" w:rsidP="00F9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05D8" w14:textId="77777777" w:rsidR="00F97B8F" w:rsidRPr="00D270C7" w:rsidRDefault="00F97B8F" w:rsidP="00D270C7">
    <w:pPr>
      <w:pStyle w:val="Header"/>
      <w:tabs>
        <w:tab w:val="left" w:pos="4962"/>
      </w:tabs>
      <w:rPr>
        <w:b/>
      </w:rPr>
    </w:pPr>
    <w:r w:rsidRPr="00D270C7">
      <w:rPr>
        <w:b/>
      </w:rPr>
      <w:t>C</w:t>
    </w:r>
    <w:r w:rsidR="00D270C7" w:rsidRPr="00D270C7">
      <w:rPr>
        <w:b/>
      </w:rPr>
      <w:t xml:space="preserve">ottingham High School </w:t>
    </w:r>
    <w:r w:rsidRPr="00D270C7">
      <w:rPr>
        <w:b/>
      </w:rPr>
      <w:t>KS3 Curriculum – Med</w:t>
    </w:r>
    <w:r w:rsidR="008C2D0B">
      <w:rPr>
        <w:b/>
      </w:rPr>
      <w:t>ium</w:t>
    </w:r>
    <w:r w:rsidRPr="00D270C7">
      <w:rPr>
        <w:b/>
      </w:rPr>
      <w:t xml:space="preserve"> Term Plan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C9C"/>
    <w:multiLevelType w:val="hybridMultilevel"/>
    <w:tmpl w:val="6F5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5343A"/>
    <w:multiLevelType w:val="hybridMultilevel"/>
    <w:tmpl w:val="92A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577F0"/>
    <w:multiLevelType w:val="hybridMultilevel"/>
    <w:tmpl w:val="136E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C491B"/>
    <w:multiLevelType w:val="hybridMultilevel"/>
    <w:tmpl w:val="B1F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D013C"/>
    <w:multiLevelType w:val="hybridMultilevel"/>
    <w:tmpl w:val="139A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928BE"/>
    <w:multiLevelType w:val="hybridMultilevel"/>
    <w:tmpl w:val="8B5A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8F"/>
    <w:rsid w:val="000728A9"/>
    <w:rsid w:val="001371AA"/>
    <w:rsid w:val="00197B21"/>
    <w:rsid w:val="001A475D"/>
    <w:rsid w:val="001D6474"/>
    <w:rsid w:val="00224A97"/>
    <w:rsid w:val="002667B3"/>
    <w:rsid w:val="00280839"/>
    <w:rsid w:val="002A0B20"/>
    <w:rsid w:val="00355B38"/>
    <w:rsid w:val="00421F39"/>
    <w:rsid w:val="005B3BE0"/>
    <w:rsid w:val="0060127B"/>
    <w:rsid w:val="006512FB"/>
    <w:rsid w:val="00661C54"/>
    <w:rsid w:val="006641E9"/>
    <w:rsid w:val="00682E63"/>
    <w:rsid w:val="006F217F"/>
    <w:rsid w:val="007432F2"/>
    <w:rsid w:val="007A0771"/>
    <w:rsid w:val="007C212A"/>
    <w:rsid w:val="00844127"/>
    <w:rsid w:val="00872384"/>
    <w:rsid w:val="008C2D0B"/>
    <w:rsid w:val="0094665F"/>
    <w:rsid w:val="00950415"/>
    <w:rsid w:val="00A72B85"/>
    <w:rsid w:val="00AC0161"/>
    <w:rsid w:val="00AC6F18"/>
    <w:rsid w:val="00AF4E17"/>
    <w:rsid w:val="00B97C7A"/>
    <w:rsid w:val="00BC0453"/>
    <w:rsid w:val="00C07320"/>
    <w:rsid w:val="00C42433"/>
    <w:rsid w:val="00C444B0"/>
    <w:rsid w:val="00D270C7"/>
    <w:rsid w:val="00D63E6D"/>
    <w:rsid w:val="00D65071"/>
    <w:rsid w:val="00D80FFE"/>
    <w:rsid w:val="00DD40BC"/>
    <w:rsid w:val="00DE2D61"/>
    <w:rsid w:val="00DF5E03"/>
    <w:rsid w:val="00E82453"/>
    <w:rsid w:val="00EA17D0"/>
    <w:rsid w:val="00F3027F"/>
    <w:rsid w:val="00F520E3"/>
    <w:rsid w:val="00F749CD"/>
    <w:rsid w:val="00F916B0"/>
    <w:rsid w:val="00F9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F0437"/>
  <w15:chartTrackingRefBased/>
  <w15:docId w15:val="{3C2E0754-04B0-4840-B5A7-0F38AFF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F"/>
  </w:style>
  <w:style w:type="paragraph" w:styleId="Footer">
    <w:name w:val="footer"/>
    <w:basedOn w:val="Normal"/>
    <w:link w:val="FooterChar"/>
    <w:uiPriority w:val="99"/>
    <w:unhideWhenUsed/>
    <w:rsid w:val="00F9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F"/>
  </w:style>
  <w:style w:type="table" w:styleId="TableGrid">
    <w:name w:val="Table Grid"/>
    <w:basedOn w:val="TableNormal"/>
    <w:uiPriority w:val="39"/>
    <w:rsid w:val="00F9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C7"/>
    <w:pPr>
      <w:ind w:left="720"/>
      <w:contextualSpacing/>
    </w:pPr>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2998F-23BC-49E5-99B3-84866EC083C7}"/>
</file>

<file path=customXml/itemProps2.xml><?xml version="1.0" encoding="utf-8"?>
<ds:datastoreItem xmlns:ds="http://schemas.openxmlformats.org/officeDocument/2006/customXml" ds:itemID="{93B53FA0-930D-4D75-8788-E5B3F63F72D2}">
  <ds:schemaRefs>
    <ds:schemaRef ds:uri="http://schemas.microsoft.com/sharepoint/v3/contenttype/forms"/>
  </ds:schemaRefs>
</ds:datastoreItem>
</file>

<file path=customXml/itemProps3.xml><?xml version="1.0" encoding="utf-8"?>
<ds:datastoreItem xmlns:ds="http://schemas.openxmlformats.org/officeDocument/2006/customXml" ds:itemID="{B9631F01-9198-4691-BC2E-B375CBE967C8}">
  <ds:schemaRefs>
    <ds:schemaRef ds:uri="0951d9a3-5f9e-4822-821d-cb770f62a3ab"/>
    <ds:schemaRef ds:uri="http://purl.org/dc/terms/"/>
    <ds:schemaRef ds:uri="http://purl.org/dc/dcmitype/"/>
    <ds:schemaRef ds:uri="http://schemas.microsoft.com/office/2006/documentManagement/types"/>
    <ds:schemaRef ds:uri="7276eec4-1aef-4391-9cb2-a0b74ae0150f"/>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Wardle</dc:creator>
  <cp:keywords/>
  <dc:description/>
  <cp:lastModifiedBy>Y. Holmes</cp:lastModifiedBy>
  <cp:revision>2</cp:revision>
  <cp:lastPrinted>2019-12-11T12:03:00Z</cp:lastPrinted>
  <dcterms:created xsi:type="dcterms:W3CDTF">2021-06-29T14:08:00Z</dcterms:created>
  <dcterms:modified xsi:type="dcterms:W3CDTF">2021-06-29T14:08:00Z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